
<file path=[Content_Types].xml><?xml version="1.0" encoding="utf-8"?>
<Types xmlns="http://schemas.openxmlformats.org/package/2006/content-types">
  <Default ContentType="image/jpeg" Extension="jpeg"/>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Powered by docx4j 6.0.1 (Apache licensed)-->
  <w:body>
    <w:tbl>
      <w:tblPr>
        <w:tblW w:type="auto" w:w="0"/>
        <w:tblCellSpacing w:type="auto" w:w="0"/>
        <w:tblBorders>
          <w:top w:val="none"/>
          <w:left w:val="none"/>
          <w:bottom w:val="none"/>
          <w:right w:val="none"/>
          <w:insideH w:val="none"/>
          <w:insideV w:val="none"/>
        </w:tblBorders>
      </w:tblPr>
      <w:tblGrid>
        <w:gridCol w:w="503"/>
        <w:gridCol w:w="503"/>
        <w:gridCol w:w="503"/>
        <w:gridCol w:w="358"/>
        <w:gridCol w:w="9842"/>
        <w:gridCol w:w="1006"/>
        <w:gridCol w:w="1510"/>
        <w:gridCol w:w="503"/>
        <w:gridCol w:w="1007"/>
      </w:tblGrid>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358"/>
            <w:tcBorders/>
            <w:tcMar>
              <w:top w:type="dxa" w:w="15"/>
              <w:left w:type="dxa" w:w="15"/>
              <w:bottom w:type="dxa" w:w="15"/>
              <w:right w:type="dxa" w:w="15"/>
            </w:tcMar>
            <w:vAlign w:val="top"/>
          </w:tcPr>
          <w:p/>
        </w:tc>
        <w:tc>
          <w:tcPr>
            <w:tcW w:type="dxa" w:w="9842"/>
            <w:tcBorders/>
            <w:tcMar>
              <w:top w:type="dxa" w:w="15"/>
              <w:left w:type="dxa" w:w="15"/>
              <w:bottom w:type="dxa" w:w="15"/>
              <w:right w:type="dxa" w:w="15"/>
            </w:tcMar>
            <w:vAlign w:val="top"/>
          </w:tcPr>
          <w:p/>
        </w:tc>
        <w:tc>
          <w:tcPr>
            <w:tcW w:type="dxa" w:w="1006"/>
            <w:tcBorders/>
            <w:tcMar>
              <w:top w:type="dxa" w:w="15"/>
              <w:left w:type="dxa" w:w="15"/>
              <w:bottom w:type="dxa" w:w="15"/>
              <w:right w:type="dxa" w:w="15"/>
            </w:tcMar>
            <w:vAlign w:val="top"/>
          </w:tcP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1. 특성 및 개화생리</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부발디아는 식물체의
활력과 더불어 재배온도와 단일이 관계하여 꽃눈분화와 발달이 결정되는 단일식물이다. 광에 대하여 상당히 민감하여 장일,
단일을 인공적으로 만들어주면 언제라도 화아분화하는데 하우스 온도가 25℃이상이 되면 반응이 둔해져서 꽃수가 감소한다. 밤
온도는 14℃이상, 낮 온도는 25℃이하로 관리한다.</w:t>
            </w:r>
            <w:r>
              <w:br/>
            </w:r>
            <w:r>
              <w:rPr>
                <w:rFonts w:hAnsi="Malgun Gothic" w:ascii="Malgun Gothic"/>
                <w:b w:val="false"/>
                <w:i w:val="false"/>
                <w:color w:val="333333"/>
                <w:sz w:val="24"/>
              </w:rPr>
              <w:t>
 부발디아는 생장이 빠른데다 광반응이 민감하기 때문에 출하규격(초장)이 짧은 경우는 한해에 몇
번이라도 출하할 수 있지만 초장을 70cm이상으로 수확하는 경우(전조처리 8월 25일부터 4월말까지)는 키가
30~40cm정도 자랐을 때 차광처리를 하면 개화기에 원하는 초장을 확보할 수 있다. 연중 차광처리를 하면 수확기간이
짧아지고 작업이 쉬워진다.</w:t>
            </w:r>
            <w:r>
              <w:br/>
            </w:r>
            <w:r>
              <w:rPr>
                <w:rFonts w:hAnsi="Malgun Gothic" w:ascii="Malgun Gothic"/>
                <w:b w:val="false"/>
                <w:i w:val="false"/>
                <w:color w:val="333333"/>
                <w:sz w:val="24"/>
              </w:rPr>
              <w:t>
 최근에 수요가 증가하고 있으며 절화, 부케, 꽃다발, 분화용 등으로 이용이 확대될
전망이다.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2. 종과 품종</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부발디아는 꼭두서니과에
속하는 반내한성의 관목 또는 다년초로 열대아메리카에 30종 정도가 자생한다. 원예품종으로 현재 재배되고 있는 것은
교잡종과 </w:t>
            </w:r>
            <w:r>
              <w:rPr>
                <w:rFonts w:hAnsi="Malgun Gothic" w:ascii="Malgun Gothic"/>
                <w:b w:val="false"/>
                <w:i w:val="false"/>
                <w:color w:val="333333"/>
                <w:sz w:val="24"/>
              </w:rPr>
              <w:t>Bouvardia longiflora</w:t>
            </w:r>
          </w:p>
          <w:p>
            <w:pPr>
              <w:spacing w:after="0"/>
              <w:ind w:left="0"/>
              <w:jc w:val="left"/>
            </w:pPr>
            <w:r>
              <w:rPr>
                <w:rFonts w:hAnsi="Malgun Gothic" w:ascii="Malgun Gothic"/>
                <w:b w:val="false"/>
                <w:i w:val="false"/>
                <w:color w:val="333333"/>
                <w:sz w:val="24"/>
              </w:rPr>
              <w:t>이다.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 xml:space="preserve">가. </w:t>
            </w:r>
            <w:r>
              <w:rPr>
                <w:rFonts w:hAnsi="Malgun Gothic" w:ascii="Malgun Gothic"/>
                <w:b/>
                <w:i w:val="false"/>
                <w:color w:val="333333"/>
                <w:sz w:val="24"/>
              </w:rPr>
              <w:t>Bouvardia leiantha</w:t>
            </w:r>
          </w:p>
          <w:p>
            <w:pPr>
              <w:spacing w:after="0"/>
              <w:ind w:left="0"/>
              <w:jc w:val="left"/>
            </w:pP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키가 30~80cm정도
되며 총생한다. 꽃은 주홍색이고 개화기는 가을부터 봄이다.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4"/>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w:t>
            </w:r>
            <w:r>
              <w:drawing>
                <wp:inline distR="0" distL="0" distB="0" distT="0">
                  <wp:extent cy="2590800" cx="2057400"/>
                  <wp:effectExtent b="0" r="0" t="0" l="0"/>
                  <wp:docPr descr="" name="" id="0"/>
                  <wp:cNvGraphicFramePr>
                    <a:graphicFrameLocks noChangeAspect="true"/>
                  </wp:cNvGraphicFramePr>
                  <a:graphic>
                    <a:graphicData uri="http://schemas.openxmlformats.org/drawingml/2006/picture">
                      <pic:pic>
                        <pic:nvPicPr>
                          <pic:cNvPr name="" id="1"/>
                          <pic:cNvPicPr/>
                        </pic:nvPicPr>
                        <pic:blipFill>
                          <a:blip r:embed="rId4"/>
                          <a:stretch>
                            <a:fillRect/>
                          </a:stretch>
                        </pic:blipFill>
                        <pic:spPr>
                          <a:xfrm>
                            <a:off y="0" x="0"/>
                            <a:ext cy="2590800" cx="2057400"/>
                          </a:xfrm>
                          <a:prstGeom prst="rect">
                            <a:avLst/>
                          </a:prstGeom>
                        </pic:spPr>
                      </pic:pic>
                    </a:graphicData>
                  </a:graphic>
                </wp:inline>
              </w:drawing>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4"/>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w:t>
            </w:r>
            <w:r>
              <w:br/>
            </w:r>
            <w:r>
              <w:rPr>
                <w:rFonts w:hAnsi="Malgun Gothic" w:ascii="Malgun Gothic"/>
                <w:b/>
                <w:i w:val="false"/>
                <w:color w:val="333333"/>
                <w:sz w:val="24"/>
              </w:rPr>
              <w:t>
그림 1. 부발디아 개화모습</w:t>
            </w:r>
          </w:p>
          <w:p>
            <w:pPr>
              <w:spacing w:after="0"/>
              <w:ind w:left="0"/>
              <w:jc w:val="left"/>
            </w:pPr>
            <w:r>
              <w:rPr>
                <w:rFonts w:hAnsi="Malgun Gothic" w:ascii="Malgun Gothic"/>
                <w:b w:val="false"/>
                <w:i w:val="false"/>
                <w:color w:val="333333"/>
                <w:sz w:val="24"/>
              </w:rPr>
              <w:t xml:space="preserve"> </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 xml:space="preserve">나. </w:t>
            </w:r>
            <w:r>
              <w:rPr>
                <w:rFonts w:hAnsi="Malgun Gothic" w:ascii="Malgun Gothic"/>
                <w:b/>
                <w:i w:val="false"/>
                <w:color w:val="333333"/>
                <w:sz w:val="24"/>
              </w:rPr>
              <w:t>Bouvardia longiflora</w:t>
            </w:r>
          </w:p>
          <w:p>
            <w:pPr>
              <w:spacing w:after="0"/>
              <w:ind w:left="0"/>
              <w:jc w:val="left"/>
            </w:pP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키가 1m에 달하고 잘
분지하는 반 관목이다. 꽃은 백색이며 향기가 강하다. 개화기는 여름부터 가을까지이다. 현재 원예용으로 재배되고 있는
백색종은 주로 이 종을 이용하여 개량한 것이다.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 xml:space="preserve">다. </w:t>
            </w:r>
            <w:r>
              <w:rPr>
                <w:rFonts w:hAnsi="Malgun Gothic" w:ascii="Malgun Gothic"/>
                <w:b/>
                <w:i w:val="false"/>
                <w:color w:val="333333"/>
                <w:sz w:val="24"/>
              </w:rPr>
              <w:t>Bouvardia ternifolia</w:t>
            </w:r>
          </w:p>
          <w:p>
            <w:pPr>
              <w:spacing w:after="0"/>
              <w:ind w:left="0"/>
              <w:jc w:val="left"/>
            </w:pP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키가 60cm정도 되는
관목으로 꽃은 주홍색이다. 개화기는 봄부터 초여름까지 이다.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라. 교잡종</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주로 재배되고 있는
원예품종은 레이안타(</w:t>
            </w:r>
            <w:r>
              <w:rPr>
                <w:rFonts w:hAnsi="Malgun Gothic" w:ascii="Malgun Gothic"/>
                <w:b w:val="false"/>
                <w:i w:val="false"/>
                <w:color w:val="333333"/>
                <w:sz w:val="24"/>
              </w:rPr>
              <w:t>Bouvardia leiantha</w:t>
            </w:r>
          </w:p>
          <w:p>
            <w:pPr>
              <w:spacing w:after="0"/>
              <w:ind w:left="0"/>
              <w:jc w:val="left"/>
            </w:pPr>
            <w:r>
              <w:rPr>
                <w:rFonts w:hAnsi="Malgun Gothic" w:ascii="Malgun Gothic"/>
                <w:b w:val="false"/>
                <w:i w:val="false"/>
                <w:color w:val="333333"/>
                <w:sz w:val="24"/>
              </w:rPr>
              <w:t>), 롱기플로라(</w:t>
            </w:r>
            <w:r>
              <w:rPr>
                <w:rFonts w:hAnsi="Malgun Gothic" w:ascii="Malgun Gothic"/>
                <w:b w:val="false"/>
                <w:i w:val="false"/>
                <w:color w:val="333333"/>
                <w:sz w:val="24"/>
              </w:rPr>
              <w:t>Bouvardia
longiflora</w:t>
            </w:r>
          </w:p>
          <w:p>
            <w:pPr>
              <w:spacing w:after="0"/>
              <w:ind w:left="0"/>
              <w:jc w:val="left"/>
            </w:pPr>
            <w:r>
              <w:rPr>
                <w:rFonts w:hAnsi="Malgun Gothic" w:ascii="Malgun Gothic"/>
                <w:b w:val="false"/>
                <w:i w:val="false"/>
                <w:color w:val="333333"/>
                <w:sz w:val="24"/>
              </w:rPr>
              <w:t>), 터니폴리아(</w:t>
            </w:r>
            <w:r>
              <w:rPr>
                <w:rFonts w:hAnsi="Malgun Gothic" w:ascii="Malgun Gothic"/>
                <w:b w:val="false"/>
                <w:i w:val="false"/>
                <w:color w:val="333333"/>
                <w:sz w:val="24"/>
              </w:rPr>
              <w:t>Bouvardia ternifolia</w:t>
            </w:r>
          </w:p>
          <w:p>
            <w:pPr>
              <w:spacing w:after="0"/>
              <w:ind w:left="0"/>
              <w:jc w:val="left"/>
            </w:pPr>
            <w:r>
              <w:rPr>
                <w:rFonts w:hAnsi="Malgun Gothic" w:ascii="Malgun Gothic"/>
                <w:b w:val="false"/>
                <w:i w:val="false"/>
                <w:color w:val="333333"/>
                <w:sz w:val="24"/>
              </w:rPr>
              <w:t>) 등의 종에서 나온
교잡품종이다. 적색꽃 이외에도 미국과 독일에서 여러가지 색과 모양을 가진 교잡품종을 만들었으며, 일본에서도 여러 품종들을
선발하여 절화나 분화로 널리 재배하고 있다.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3.
재배방법</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가. 모주의 관리</w:t>
            </w:r>
          </w:p>
          <w:p>
            <w:pPr>
              <w:spacing w:after="0"/>
              <w:ind w:left="0"/>
              <w:jc w:val="left"/>
            </w:pPr>
            <w:r>
              <w:rPr>
                <w:rFonts w:hAnsi="Malgun Gothic" w:ascii="Malgun Gothic"/>
                <w:b w:val="false"/>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한번 정식하면 3년간은
수확한다. 그리고 1년에 3~4회는 수확하므로 모주관리는 매우 중요하다. 정식하기 전에는 흙 속에 유기물과 토양개량제를
충분히 넣는다. 꽃눈이 확인되면 수확 때까지 관수량을 늘린다. 수확한 후에는 정지작업을 하고 추비를 충분히 준 후에
관수하여 새로운 눈의 발달을 촉진한다.</w:t>
            </w:r>
            <w:r>
              <w:br/>
            </w:r>
            <w:r>
              <w:rPr>
                <w:rFonts w:hAnsi="Malgun Gothic" w:ascii="Malgun Gothic"/>
                <w:b w:val="false"/>
                <w:i w:val="false"/>
                <w:color w:val="333333"/>
                <w:sz w:val="24"/>
              </w:rPr>
              <w:t>
 한 주에서 7~8개의 싹이 나오므로 25cm정도 자라면 솎음전정을 하여 한 주당 3개 정도만
남긴다. 이렇게 솎음한 눈을 삽목하면 묘로 사용할 수 있다.</w:t>
            </w:r>
            <w:r>
              <w:br/>
            </w:r>
            <w:r>
              <w:rPr>
                <w:rFonts w:hAnsi="Malgun Gothic" w:ascii="Malgun Gothic"/>
                <w:b w:val="false"/>
                <w:i w:val="false"/>
                <w:color w:val="333333"/>
                <w:sz w:val="24"/>
              </w:rPr>
              <w:t>
 채화 줄기에서 새로운 눈을 발생시켜 몇 번 채화한 후에 3월경에 채화할 때 전정을 하면 식물체에
손상 없이 안정된 채화를 할 수 있다.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나. 묘의 번식</w:t>
            </w:r>
            <w:r>
              <w:br/>
            </w:r>
            <w:r>
              <w:rPr>
                <w:rFonts w:hAnsi="Malgun Gothic" w:ascii="Malgun Gothic"/>
                <w:b/>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358"/>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(1) 삽 목(揷芽)</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358"/>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삽수준비는 채화한 후에
많은 눈이 발생한다. 이 싹을 솎음한 것을 삽수로 이용한다. 4~6월경에 삽목 한다.</w:t>
            </w:r>
            <w:r>
              <w:br/>
            </w:r>
            <w:r>
              <w:rPr>
                <w:rFonts w:hAnsi="Malgun Gothic" w:ascii="Malgun Gothic"/>
                <w:b w:val="false"/>
                <w:i w:val="false"/>
                <w:color w:val="333333"/>
                <w:sz w:val="24"/>
              </w:rPr>
              <w:t>
 삽수조제는 2매엽과 3매엽이 있으므로 되도록 3매엽의 새싹을 본엽을 3매 붙여서 삽수로
사용한다.</w:t>
            </w:r>
            <w:r>
              <w:br/>
            </w:r>
            <w:r>
              <w:rPr>
                <w:rFonts w:hAnsi="Malgun Gothic" w:ascii="Malgun Gothic"/>
                <w:b w:val="false"/>
                <w:i w:val="false"/>
                <w:color w:val="333333"/>
                <w:sz w:val="24"/>
              </w:rPr>
              <w:t xml:space="preserve">
 </w:t>
            </w:r>
            <w:r>
              <w:br/>
            </w:r>
            <w:r>
              <w:rPr>
                <w:rFonts w:hAnsi="Malgun Gothic" w:ascii="Malgun Gothic"/>
                <w:b w:val="false"/>
                <w:i w:val="false"/>
                <w:color w:val="333333"/>
                <w:sz w:val="24"/>
              </w:rPr>
              <w:t>
 삽목상의 배지온도는 23~25℃가 좋다.</w:t>
            </w:r>
            <w:r>
              <w:br/>
            </w:r>
            <w:r>
              <w:rPr>
                <w:rFonts w:hAnsi="Malgun Gothic" w:ascii="Malgun Gothic"/>
                <w:b w:val="false"/>
                <w:i w:val="false"/>
                <w:color w:val="333333"/>
                <w:sz w:val="24"/>
              </w:rPr>
              <w:t>
 삽목상의 깊이는 8~10cm로 한다. 삽목배지는 피트모스를 단용으로 하거나 또는 피트모스 5 :
펄라이트 1로 한다. 삽목상에 충분히 관수한 후에 비닐을 덮어 배지의 온도를 높여준다.</w:t>
            </w:r>
            <w:r>
              <w:br/>
            </w:r>
            <w:r>
              <w:rPr>
                <w:rFonts w:hAnsi="Malgun Gothic" w:ascii="Malgun Gothic"/>
                <w:b w:val="false"/>
                <w:i w:val="false"/>
                <w:color w:val="333333"/>
                <w:sz w:val="24"/>
              </w:rPr>
              <w:t>
 삽수는 오소사이드 800배액에 5초간 담근 후에 꽂는다. 삽목이 끝나면 다찌가렌 수용제를 살포하고
비닐과 차광망을 쳐서 직사광선을 막아준다. 삽목상은 밀폐시켜서 공기의 출입이 없도록 하는 것이 좋다.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다. 화아분화와 발달의 촉진(발뢰까지)</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밤 온도는 14℃이상,
낮온도는 25℃이하로 관리한다. 25℃이상이 되면 환기를 한다. 여름 고온기에는 백색의 한랭사를 쳐서 엽소(잎데임중상)를
방지해준다.</w:t>
            </w:r>
            <w:r>
              <w:br/>
            </w:r>
            <w:r>
              <w:rPr>
                <w:rFonts w:hAnsi="Malgun Gothic" w:ascii="Malgun Gothic"/>
                <w:b w:val="false"/>
                <w:i w:val="false"/>
                <w:color w:val="333333"/>
                <w:sz w:val="24"/>
              </w:rPr>
              <w:t>
 초기생육을 촉진하기 위하여 광을 충분히 받도록 한다. 초장이 30~40cm정도까지 자라면
단일처리(차광)를 시작하여 화아분화의 발달을 촉진한다. 가을부터 봄에 걸쳐서는 초기생육을 촉진하면 화아분화를 억제하기
때문에 전조를 하여 충분한 초장이 되면 차광(14시간 차광, 10시간 일장)을 실시한다. 백색과 핑크색 종은 7~10일간
차광한다.</w:t>
            </w:r>
            <w:r>
              <w:br/>
            </w:r>
            <w:r>
              <w:rPr>
                <w:rFonts w:hAnsi="Malgun Gothic" w:ascii="Malgun Gothic"/>
                <w:b w:val="false"/>
                <w:i w:val="false"/>
                <w:color w:val="333333"/>
                <w:sz w:val="24"/>
              </w:rPr>
              <w:t>
 햇빛을 충분히 받도록 하고, 채화한 후에 비료를 주고 충분히 관수한다. 꽃눈이 확인될 때까지만
정기적으로 관수를 한다. 꽃눈이 생긴 후 채화할 때까지는 물을 주지 않는다.</w:t>
            </w:r>
            <w:r>
              <w:br/>
            </w:r>
            <w:r>
              <w:rPr>
                <w:rFonts w:hAnsi="Malgun Gothic" w:ascii="Malgun Gothic"/>
                <w:b w:val="false"/>
                <w:i w:val="false"/>
                <w:color w:val="333333"/>
                <w:sz w:val="24"/>
              </w:rPr>
              <w:t>
 용토는 충적토양이나 사양토가 좋으며, 비료는 10a당 기비로는 질소 16kg, 인산 10kg,
칼리 14kg을 준다. 채화한 후의 추비는 복합비료를 10a기준으로 60kg을 준다. 10월부터 2월까지는 추비량을
20%정도 줄인다.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라. 작형별 품종</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부발디아의 품종에는
3가지 계통이 있다. 그 중 하나가 하이브리드계(소륜종)로 화이트 L, 다크 핑크, 체리핑크, 레드(색깔을 진하게 만들기
쉬움), 로즈 핑크, 라이트 핑크, 이에로(꽃다발 수가 적음) 등이 있다. 롱지플로라계는 대륜종으로 에베레스트(생육을
촉진하기 쉬움), ’후지 유끼’, ’백옥관’ 등이 있으며, 8겹의 겹꽃계에는 더블화이트, 더블라이트핑크, 록사누 등이
있다. 재배할 때의 색의 조합은 백색 40%, 핑크 30%, 대륜 10%, 기타 20% 정도가 적당하다.</w:t>
            </w:r>
            <w:r>
              <w:br/>
            </w:r>
            <w:r>
              <w:rPr>
                <w:rFonts w:hAnsi="Malgun Gothic" w:ascii="Malgun Gothic"/>
                <w:b w:val="false"/>
                <w:i w:val="false"/>
                <w:color w:val="333333"/>
                <w:sz w:val="24"/>
              </w:rPr>
              <w:t>
</w:t>
            </w:r>
            <w:r>
              <w:br/>
            </w:r>
            <w:r>
              <w:rPr>
                <w:rFonts w:hAnsi="Malgun Gothic" w:ascii="Malgun Gothic"/>
                <w:b w:val="false"/>
                <w:i w:val="false"/>
                <w:color w:val="333333"/>
                <w:sz w:val="24"/>
              </w:rPr>
              <w:t>
</w:t>
            </w:r>
          </w:p>
        </w:tc>
      </w:tr>
      <w:tr>
        <w:trPr>
          <w:trHeight w:hRule="atLeast" w:val="225"/>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마. 재배 유의사항</w:t>
            </w:r>
            <w:r>
              <w:br/>
            </w:r>
            <w:r>
              <w:rPr>
                <w:rFonts w:hAnsi="Malgun Gothic" w:ascii="Malgun Gothic"/>
                <w:b/>
                <w:i w:val="false"/>
                <w:color w:val="333333"/>
                <w:sz w:val="24"/>
              </w:rPr>
              <w:t>
</w:t>
            </w:r>
          </w:p>
        </w:tc>
      </w:tr>
      <w:tr>
        <w:trPr/>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dxa" w:w="503"/>
            <w:tcBorders/>
            <w:tcMar>
              <w:top w:type="dxa" w:w="15"/>
              <w:left w:type="dxa" w:w="15"/>
              <w:bottom w:type="dxa" w:w="15"/>
              <w:right w:type="dxa" w:w="15"/>
            </w:tcMar>
            <w:vAlign w:val="top"/>
          </w:tcPr>
          <w:p/>
        </w:tc>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xml:space="preserve"> 새로운 토양에서는
5~6년 정도 재배할 수 있지만 연작을 계속하면 병해충이 발생하여 고사주가 생긴다. 토양소독만으로는 해결하기 어려운 면이
있다. 토양전염성인 병해충이 발생하면 토양소독을 하고 다른 화종을 2~3년간 재배한 후에 다시 부발디아를 심는 것이
좋다.</w:t>
            </w:r>
            <w:r>
              <w:br/>
            </w:r>
            <w:r>
              <w:rPr>
                <w:rFonts w:hAnsi="Malgun Gothic" w:ascii="Malgun Gothic"/>
                <w:b w:val="false"/>
                <w:i w:val="false"/>
                <w:color w:val="333333"/>
                <w:sz w:val="24"/>
              </w:rPr>
              <w:t>
 이 식물에는 2매엽과 3매엽이 있으며 잎이 많은 쪽이 꽃다발 수가 많고 부피도 크다. 따라서
삽목할 때에 주의하여 3매엽으로부터 삽수를 채취하도록 하고 우량묘를 확보하도록 노력해야 한다.</w:t>
            </w:r>
            <w:r>
              <w:br/>
            </w:r>
            <w:r>
              <w:rPr>
                <w:rFonts w:hAnsi="Malgun Gothic" w:ascii="Malgun Gothic"/>
                <w:b w:val="false"/>
                <w:i w:val="false"/>
                <w:color w:val="333333"/>
                <w:sz w:val="24"/>
              </w:rPr>
              <w:t>
 고사주를 방지하기 위해서 채화중에는 토양수분이 적도록 휴면에 가까운 상태로 관리한다. 그리고
식물체에 가는 줄기가 발생하는 경우에는 전부 제거하지 말고 새눈이 나오고 나서 잘라준다. 또한 채화한 후에 관수를 하고
러브시트를 쳐서 새눈의 발생을 촉진한다. 심한 자극을 주거나 극단적인 관리를 하지 않는 것도 중요하다.</w:t>
            </w:r>
            <w:r>
              <w:br/>
            </w:r>
            <w:r>
              <w:rPr>
                <w:rFonts w:hAnsi="Malgun Gothic" w:ascii="Malgun Gothic"/>
                <w:b w:val="false"/>
                <w:i w:val="false"/>
                <w:color w:val="333333"/>
                <w:sz w:val="24"/>
              </w:rPr>
              <w:t>
</w:t>
            </w:r>
          </w:p>
        </w:tc>
      </w:tr>
    </w:tbl>
    <w:sectPr>
      <w:pgSz w:code="9" w:h="16839" w:w="11907"/>
      <w:pgMar w:left="1440" w:bottom="1440" w:right="1440" w:top="1440"/>
    </w:sectPr>
  </w:body>
</w:document>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abstractNum w:abstractNumId="0">
    <w:nsid w:val="16892FB7"/>
    <w:multiLevelType w:val="hybridMultilevel"/>
    <w:tmpl w:val="5A4EB96A"/>
    <w:lvl w:tplc="0C090001" w:ilvl="0">
      <w:start w:val="1"/>
      <w:numFmt w:val="bullet"/>
      <w:lvlText w:val=""/>
      <w:lvlJc w:val="left"/>
      <w:pPr>
        <w:ind w:hanging="360" w:left="720"/>
      </w:pPr>
      <w:rPr>
        <w:rFonts w:hAnsi="Symbol" w:ascii="Symbol"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1">
    <w:nsid w:val="7E706046"/>
    <w:multiLevelType w:val="hybridMultilevel"/>
    <w:tmpl w:val="336E8F2C"/>
    <w:lvl w:tplc="0C09000F" w:ilvl="0">
      <w:start w:val="1"/>
      <w:numFmt w:val="decimal"/>
      <w:lvlText w:val="%1."/>
      <w:lvlJc w:val="left"/>
      <w:pPr>
        <w:ind w:hanging="360" w:left="720"/>
      </w:pPr>
    </w:lvl>
    <w:lvl w:tentative="true" w:tplc="0C090019" w:ilvl="1">
      <w:start w:val="1"/>
      <w:numFmt w:val="lowerLetter"/>
      <w:lvlText w:val="%2."/>
      <w:lvlJc w:val="left"/>
      <w:pPr>
        <w:ind w:hanging="360" w:left="1440"/>
      </w:pPr>
    </w:lvl>
    <w:lvl w:tentative="true" w:tplc="0C09001B" w:ilvl="2">
      <w:start w:val="1"/>
      <w:numFmt w:val="lowerRoman"/>
      <w:lvlText w:val="%3."/>
      <w:lvlJc w:val="right"/>
      <w:pPr>
        <w:ind w:hanging="180" w:left="2160"/>
      </w:pPr>
    </w:lvl>
    <w:lvl w:tentative="true" w:tplc="0C09000F" w:ilvl="3">
      <w:start w:val="1"/>
      <w:numFmt w:val="decimal"/>
      <w:lvlText w:val="%4."/>
      <w:lvlJc w:val="left"/>
      <w:pPr>
        <w:ind w:hanging="360" w:left="2880"/>
      </w:pPr>
    </w:lvl>
    <w:lvl w:tentative="true" w:tplc="0C090019" w:ilvl="4">
      <w:start w:val="1"/>
      <w:numFmt w:val="lowerLetter"/>
      <w:lvlText w:val="%5."/>
      <w:lvlJc w:val="left"/>
      <w:pPr>
        <w:ind w:hanging="360" w:left="3600"/>
      </w:pPr>
    </w:lvl>
    <w:lvl w:tentative="true" w:tplc="0C09001B" w:ilvl="5">
      <w:start w:val="1"/>
      <w:numFmt w:val="lowerRoman"/>
      <w:lvlText w:val="%6."/>
      <w:lvlJc w:val="right"/>
      <w:pPr>
        <w:ind w:hanging="180" w:left="4320"/>
      </w:pPr>
    </w:lvl>
    <w:lvl w:tentative="true" w:tplc="0C09000F" w:ilvl="6">
      <w:start w:val="1"/>
      <w:numFmt w:val="decimal"/>
      <w:lvlText w:val="%7."/>
      <w:lvlJc w:val="left"/>
      <w:pPr>
        <w:ind w:hanging="360" w:left="5040"/>
      </w:pPr>
    </w:lvl>
    <w:lvl w:tentative="true" w:tplc="0C090019" w:ilvl="7">
      <w:start w:val="1"/>
      <w:numFmt w:val="lowerLetter"/>
      <w:lvlText w:val="%8."/>
      <w:lvlJc w:val="left"/>
      <w:pPr>
        <w:ind w:hanging="360" w:left="5760"/>
      </w:pPr>
    </w:lvl>
    <w:lvl w:tentative="true" w:tplc="0C09001B" w:ilvl="8">
      <w:start w:val="1"/>
      <w:numFmt w:val="lowerRoman"/>
      <w:lvlText w:val="%9."/>
      <w:lvlJc w:val="right"/>
      <w:pPr>
        <w:ind w:hanging="180" w:left="6480"/>
      </w:pPr>
    </w:lvl>
  </w:abstractNum>
  <w:num w:numId="1">
    <w:abstractNumId w:val="1"/>
  </w:num>
  <w:num w:numId="2">
    <w:abstractNumId w:val="0"/>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mc:Ignorable="">
  <w:compat>
    <w:compatSetting w:val="1" w:uri="http://schemas.microsoft.com/office/word" w:name="overrideTableStyleFontSizeAndJustification"/>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docDefaults>
    <w:rPrDefault>
      <w:rPr>
        <w:rFonts w:cstheme="minorBidi" w:eastAsiaTheme="minorHAnsi" w:hAnsiTheme="minorHAnsi" w:asciiTheme="minorHAnsi"/>
        <w:sz w:val="22"/>
        <w:szCs w:val="22"/>
        <w:lang w:bidi="ar-SA" w:eastAsia="en-US"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default="true" w:styleId="Normal" w:type="paragraph">
    <w:name w:val="Normal"/>
    <w:qFormat/>
    <w:rsid w:val="004A3277"/>
  </w:style>
  <w:style w:styleId="Heading1" w:type="paragraph">
    <w:name w:val="heading 1"/>
    <w:basedOn w:val="Normal"/>
    <w:next w:val="Normal"/>
    <w:link w:val="Heading1Char"/>
    <w:uiPriority w:val="9"/>
    <w:qFormat/>
    <w:rsid w:val="00841CD9"/>
    <w:pPr>
      <w:keepNext/>
      <w:keepLines/>
      <w:spacing w:before="480"/>
      <w:outlineLvl w:val="0"/>
    </w:pPr>
    <w:rPr>
      <w:rFonts w:cstheme="majorBidi" w:eastAsiaTheme="majorEastAsia" w:hAnsiTheme="majorHAnsi" w:asciiTheme="majorHAnsi"/>
      <w:b/>
      <w:bCs/>
      <w:color w:themeShade="BF" w:themeColor="accent1" w:val="365F91"/>
      <w:sz w:val="28"/>
      <w:szCs w:val="28"/>
    </w:rPr>
  </w:style>
  <w:style w:styleId="Heading2" w:type="paragraph">
    <w:name w:val="heading 2"/>
    <w:basedOn w:val="Normal"/>
    <w:next w:val="Normal"/>
    <w:link w:val="Heading2Char"/>
    <w:uiPriority w:val="9"/>
    <w:unhideWhenUsed/>
    <w:qFormat/>
    <w:rsid w:val="00841CD9"/>
    <w:pPr>
      <w:keepNext/>
      <w:keepLines/>
      <w:spacing w:before="200"/>
      <w:outlineLvl w:val="1"/>
    </w:pPr>
    <w:rPr>
      <w:rFonts w:cstheme="majorBidi" w:eastAsiaTheme="majorEastAsia" w:hAnsiTheme="majorHAnsi" w:asciiTheme="majorHAnsi"/>
      <w:b/>
      <w:bCs/>
      <w:color w:themeColor="accent1" w:val="4F81BD"/>
      <w:sz w:val="26"/>
      <w:szCs w:val="26"/>
    </w:rPr>
  </w:style>
  <w:style w:styleId="Heading3" w:type="paragraph">
    <w:name w:val="heading 3"/>
    <w:basedOn w:val="Normal"/>
    <w:next w:val="Normal"/>
    <w:link w:val="Heading3Char"/>
    <w:uiPriority w:val="9"/>
    <w:unhideWhenUsed/>
    <w:qFormat/>
    <w:rsid w:val="00841CD9"/>
    <w:pPr>
      <w:keepNext/>
      <w:keepLines/>
      <w:spacing w:before="200"/>
      <w:outlineLvl w:val="2"/>
    </w:pPr>
    <w:rPr>
      <w:rFonts w:cstheme="majorBidi" w:eastAsiaTheme="majorEastAsia" w:hAnsiTheme="majorHAnsi" w:asciiTheme="majorHAnsi"/>
      <w:b/>
      <w:bCs/>
      <w:color w:themeColor="accent1" w:val="4F81BD"/>
    </w:rPr>
  </w:style>
  <w:style w:styleId="Heading4" w:type="paragraph">
    <w:name w:val="heading 4"/>
    <w:basedOn w:val="Normal"/>
    <w:next w:val="Normal"/>
    <w:link w:val="Heading4Char"/>
    <w:uiPriority w:val="9"/>
    <w:unhideWhenUsed/>
    <w:qFormat/>
    <w:rsid w:val="00841CD9"/>
    <w:pPr>
      <w:keepNext/>
      <w:keepLines/>
      <w:spacing w:before="200"/>
      <w:outlineLvl w:val="3"/>
    </w:pPr>
    <w:rPr>
      <w:rFonts w:cstheme="majorBidi" w:eastAsiaTheme="majorEastAsia" w:hAnsiTheme="majorHAnsi" w:asciiTheme="majorHAnsi"/>
      <w:b/>
      <w:bCs/>
      <w:i/>
      <w:iCs/>
      <w:color w:themeColor="accent1" w:val="4F81BD"/>
    </w:rPr>
  </w:style>
  <w:style w:default="true" w:styleId="DefaultParagraphFont" w:type="character">
    <w:name w:val="Default Paragraph Font"/>
    <w:uiPriority w:val="1"/>
    <w:semiHidden/>
    <w:unhideWhenUsed/>
  </w:style>
  <w:style w:styleId="Header" w:type="paragraph">
    <w:name w:val="header"/>
    <w:basedOn w:val="Normal"/>
    <w:link w:val="HeaderChar"/>
    <w:uiPriority w:val="99"/>
    <w:unhideWhenUsed/>
    <w:rsid w:val="00841CD9"/>
    <w:pPr>
      <w:tabs>
        <w:tab w:pos="4680" w:val="center"/>
        <w:tab w:pos="9360" w:val="right"/>
      </w:tabs>
    </w:pPr>
  </w:style>
  <w:style w:customStyle="true" w:styleId="HeaderChar" w:type="character">
    <w:name w:val="Header Char"/>
    <w:basedOn w:val="DefaultParagraphFont"/>
    <w:link w:val="Header"/>
    <w:uiPriority w:val="99"/>
    <w:rsid w:val="00841CD9"/>
  </w:style>
  <w:style w:customStyle="true" w:styleId="Heading1Char" w:type="character">
    <w:name w:val="Heading 1 Char"/>
    <w:basedOn w:val="DefaultParagraphFont"/>
    <w:link w:val="Heading1"/>
    <w:uiPriority w:val="9"/>
    <w:rsid w:val="00841CD9"/>
    <w:rPr>
      <w:rFonts w:cstheme="majorBidi" w:eastAsiaTheme="majorEastAsia" w:hAnsiTheme="majorHAnsi" w:asciiTheme="majorHAnsi"/>
      <w:b/>
      <w:bCs/>
      <w:color w:themeShade="BF" w:themeColor="accent1" w:val="365F91"/>
      <w:sz w:val="28"/>
      <w:szCs w:val="28"/>
    </w:rPr>
  </w:style>
  <w:style w:customStyle="true" w:styleId="Heading2Char" w:type="character">
    <w:name w:val="Heading 2 Char"/>
    <w:basedOn w:val="DefaultParagraphFont"/>
    <w:link w:val="Heading2"/>
    <w:uiPriority w:val="9"/>
    <w:rsid w:val="00841CD9"/>
    <w:rPr>
      <w:rFonts w:cstheme="majorBidi" w:eastAsiaTheme="majorEastAsia" w:hAnsiTheme="majorHAnsi" w:asciiTheme="majorHAnsi"/>
      <w:b/>
      <w:bCs/>
      <w:color w:themeColor="accent1" w:val="4F81BD"/>
      <w:sz w:val="26"/>
      <w:szCs w:val="26"/>
    </w:rPr>
  </w:style>
  <w:style w:customStyle="true" w:styleId="Heading3Char" w:type="character">
    <w:name w:val="Heading 3 Char"/>
    <w:basedOn w:val="DefaultParagraphFont"/>
    <w:link w:val="Heading3"/>
    <w:uiPriority w:val="9"/>
    <w:rsid w:val="00841CD9"/>
    <w:rPr>
      <w:rFonts w:cstheme="majorBidi" w:eastAsiaTheme="majorEastAsia" w:hAnsiTheme="majorHAnsi" w:asciiTheme="majorHAnsi"/>
      <w:b/>
      <w:bCs/>
      <w:color w:themeColor="accent1" w:val="4F81BD"/>
    </w:rPr>
  </w:style>
  <w:style w:customStyle="true" w:styleId="Heading4Char" w:type="character">
    <w:name w:val="Heading 4 Char"/>
    <w:basedOn w:val="DefaultParagraphFont"/>
    <w:link w:val="Heading4"/>
    <w:uiPriority w:val="9"/>
    <w:rsid w:val="00841CD9"/>
    <w:rPr>
      <w:rFonts w:cstheme="majorBidi" w:eastAsiaTheme="majorEastAsia" w:hAnsiTheme="majorHAnsi" w:asciiTheme="majorHAnsi"/>
      <w:b/>
      <w:bCs/>
      <w:i/>
      <w:iCs/>
      <w:color w:themeColor="accent1" w:val="4F81BD"/>
    </w:rPr>
  </w:style>
  <w:style w:styleId="NormalIndent" w:type="paragraph">
    <w:name w:val="Normal Indent"/>
    <w:basedOn w:val="Normal"/>
    <w:uiPriority w:val="99"/>
    <w:unhideWhenUsed/>
    <w:rsid w:val="00841CD9"/>
    <w:pPr>
      <w:ind w:left="720"/>
    </w:pPr>
  </w:style>
  <w:style w:styleId="Subtitle" w:type="paragraph">
    <w:name w:val="Subtitle"/>
    <w:basedOn w:val="Normal"/>
    <w:next w:val="Normal"/>
    <w:link w:val="SubtitleChar"/>
    <w:uiPriority w:val="11"/>
    <w:qFormat/>
    <w:rsid w:val="00841CD9"/>
    <w:pPr>
      <w:numPr>
        <w:ilvl w:val="1"/>
      </w:numPr>
      <w:ind w:left="86"/>
    </w:pPr>
    <w:rPr>
      <w:rFonts w:cstheme="majorBidi" w:eastAsiaTheme="majorEastAsia" w:hAnsiTheme="majorHAnsi" w:asciiTheme="majorHAnsi"/>
      <w:i/>
      <w:iCs/>
      <w:color w:themeColor="accent1" w:val="4F81BD"/>
      <w:spacing w:val="15"/>
      <w:sz w:val="24"/>
      <w:szCs w:val="24"/>
    </w:rPr>
  </w:style>
  <w:style w:customStyle="true" w:styleId="SubtitleChar" w:type="character">
    <w:name w:val="Subtitle Char"/>
    <w:basedOn w:val="DefaultParagraphFont"/>
    <w:link w:val="Subtitle"/>
    <w:uiPriority w:val="11"/>
    <w:rsid w:val="00841CD9"/>
    <w:rPr>
      <w:rFonts w:cstheme="majorBidi" w:eastAsiaTheme="majorEastAsia" w:hAnsiTheme="majorHAnsi" w:asciiTheme="majorHAnsi"/>
      <w:i/>
      <w:iCs/>
      <w:color w:themeColor="accent1" w:val="4F81BD"/>
      <w:spacing w:val="15"/>
      <w:sz w:val="24"/>
      <w:szCs w:val="24"/>
    </w:rPr>
  </w:style>
  <w:style w:styleId="Title" w:type="paragraph">
    <w:name w:val="Title"/>
    <w:basedOn w:val="Normal"/>
    <w:next w:val="Normal"/>
    <w:link w:val="TitleChar"/>
    <w:uiPriority w:val="10"/>
    <w:qFormat/>
    <w:rsid w:val="00841CD9"/>
    <w:pPr>
      <w:pBdr>
        <w:bottom w:space="4" w:sz="8" w:themeColor="accent1" w:color="4F81BD" w:val="single"/>
      </w:pBdr>
      <w:spacing w:after="300"/>
      <w:contextualSpacing/>
    </w:pPr>
    <w:rPr>
      <w:rFonts w:cstheme="majorBidi" w:eastAsiaTheme="majorEastAsia" w:hAnsiTheme="majorHAnsi" w:asciiTheme="majorHAnsi"/>
      <w:color w:themeShade="BF" w:themeColor="text2" w:val="17365D"/>
      <w:spacing w:val="5"/>
      <w:kern w:val="28"/>
      <w:sz w:val="52"/>
      <w:szCs w:val="52"/>
    </w:rPr>
  </w:style>
  <w:style w:customStyle="true" w:styleId="TitleChar" w:type="character">
    <w:name w:val="Title Char"/>
    <w:basedOn w:val="DefaultParagraphFont"/>
    <w:link w:val="Title"/>
    <w:uiPriority w:val="10"/>
    <w:rsid w:val="00841CD9"/>
    <w:rPr>
      <w:rFonts w:cstheme="majorBidi" w:eastAsiaTheme="majorEastAsia" w:hAnsiTheme="majorHAnsi" w:asciiTheme="majorHAnsi"/>
      <w:color w:themeShade="BF" w:themeColor="text2" w:val="17365D"/>
      <w:spacing w:val="5"/>
      <w:kern w:val="28"/>
      <w:sz w:val="52"/>
      <w:szCs w:val="52"/>
    </w:rPr>
  </w:style>
  <w:style w:styleId="Emphasis" w:type="character">
    <w:name w:val="Emphasis"/>
    <w:basedOn w:val="DefaultParagraphFont"/>
    <w:uiPriority w:val="20"/>
    <w:qFormat/>
    <w:rsid w:val="00D1197D"/>
    <w:rPr>
      <w:i/>
      <w:iCs/>
    </w:rPr>
  </w:style>
  <w:style w:styleId="Hyperlink" w:type="character">
    <w:name w:val="Hyperlink"/>
    <w:basedOn w:val="DefaultParagraphFont"/>
    <w:uiPriority w:val="99"/>
    <w:unhideWhenUsed/>
    <w:rPr>
      <w:color w:themeColor="hyperlink" w:val="0000FF"/>
      <w:u w:val="single"/>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styleId="Caption" w:type="paragraph">
    <w:name w:val="caption"/>
    <w:basedOn w:val="Normal"/>
    <w:next w:val="Normal"/>
    <w:uiPriority w:val="35"/>
    <w:semiHidden/>
    <w:unhideWhenUsed/>
    <w:qFormat/>
    <w:rsid w:val="007109C0"/>
    <w:pPr>
      <w:spacing w:lineRule="auto" w:line="240"/>
    </w:pPr>
    <w:rPr>
      <w:b/>
      <w:bCs/>
      <w:color w:themeColor="accent1" w:val="4F81BD"/>
      <w:sz w:val="18"/>
      <w:szCs w:val="18"/>
    </w:rPr>
  </w:style>
</w:styles>
</file>

<file path=word/_rels/document.xml.rels><?xml version="1.0" encoding="UTF-8"?><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numbering" Target="numbering.xml"></Relationship><Relationship Id="rId4" Type="http://schemas.openxmlformats.org/officeDocument/2006/relationships/image" Target="media/document_image_rId4.jpeg"></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