
<file path=[Content_Types].xml><?xml version="1.0" encoding="utf-8"?>
<Types xmlns="http://schemas.openxmlformats.org/package/2006/content-types">
  <Default ContentType="image/jpeg" Extension="jpeg"/>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Powered by docx4j 6.0.1 (Apache licensed)-->
  <w:body>
    <w:tbl>
      <w:tblPr>
        <w:tblW w:type="auto" w:w="0"/>
        <w:tblCellSpacing w:type="auto" w:w="0"/>
        <w:tblBorders>
          <w:top w:val="none"/>
          <w:left w:val="none"/>
          <w:bottom w:val="none"/>
          <w:right w:val="none"/>
          <w:insideH w:val="none"/>
          <w:insideV w:val="none"/>
        </w:tblBorders>
      </w:tblPr>
      <w:tblGrid>
        <w:gridCol w:w="15979"/>
        <w:gridCol w:w="1"/>
      </w:tblGrid>
      <w:tr>
        <w:trPr>
          <w:trHeight w:hRule="atLeast" w:val="23205"/>
        </w:trPr>
        <w:tc>
          <w:tcPr>
            <w:tcW w:type="dxa" w:w="15979"/>
            <w:tcBorders/>
            <w:tcMar>
              <w:top w:type="dxa" w:w="15"/>
              <w:left w:type="dxa" w:w="15"/>
              <w:bottom w:type="dxa" w:w="15"/>
              <w:right w:type="dxa" w:w="15"/>
            </w:tcMar>
            <w:vAlign w:val="top"/>
          </w:tcPr>
          <w:tbl>
            <w:tblPr>
              <w:tblW w:type="auto" w:w="0"/>
              <w:tblCellSpacing w:type="auto" w:w="0"/>
              <w:tblBorders>
                <w:top w:val="none"/>
                <w:left w:val="none"/>
                <w:bottom w:val="none"/>
                <w:right w:val="none"/>
                <w:insideH w:val="none"/>
                <w:insideV w:val="none"/>
              </w:tblBorders>
            </w:tblPr>
            <w:tblGrid>
              <w:gridCol w:w="483"/>
              <w:gridCol w:w="483"/>
              <w:gridCol w:w="483"/>
              <w:gridCol w:w="483"/>
              <w:gridCol w:w="13728"/>
            </w:tblGrid>
            <w:tr>
              <w:trPr/>
              <w:tc>
                <w:tcPr>
                  <w:tcW w:type="dxa" w:w="483"/>
                  <w:tcBorders/>
                  <w:tcMar>
                    <w:top w:type="dxa" w:w="15"/>
                    <w:left w:type="dxa" w:w="15"/>
                    <w:bottom w:type="dxa" w:w="15"/>
                    <w:right w:type="dxa" w:w="15"/>
                  </w:tcMar>
                  <w:vAlign w:val="top"/>
                </w:tcPr>
                <w:p/>
              </w:tc>
              <w:tc>
                <w:tcPr>
                  <w:tcW w:type="dxa" w:w="483"/>
                  <w:tcBorders/>
                  <w:tcMar>
                    <w:top w:type="dxa" w:w="15"/>
                    <w:left w:type="dxa" w:w="15"/>
                    <w:bottom w:type="dxa" w:w="15"/>
                    <w:right w:type="dxa" w:w="15"/>
                  </w:tcMar>
                  <w:vAlign w:val="top"/>
                </w:tcPr>
                <w:p/>
              </w:tc>
              <w:tc>
                <w:tcPr>
                  <w:tcW w:type="dxa" w:w="483"/>
                  <w:tcBorders/>
                  <w:tcMar>
                    <w:top w:type="dxa" w:w="15"/>
                    <w:left w:type="dxa" w:w="15"/>
                    <w:bottom w:type="dxa" w:w="15"/>
                    <w:right w:type="dxa" w:w="15"/>
                  </w:tcMar>
                  <w:vAlign w:val="top"/>
                </w:tcPr>
                <w:p/>
              </w:tc>
              <w:tc>
                <w:tcPr>
                  <w:tcW w:type="dxa" w:w="483"/>
                  <w:tcBorders/>
                  <w:tcMar>
                    <w:top w:type="dxa" w:w="15"/>
                    <w:left w:type="dxa" w:w="15"/>
                    <w:bottom w:type="dxa" w:w="15"/>
                    <w:right w:type="dxa" w:w="15"/>
                  </w:tcMar>
                  <w:vAlign w:val="top"/>
                </w:tcPr>
                <w:p/>
              </w:tc>
              <w:tc>
                <w:tcPr>
                  <w:tcW w:type="dxa" w:w="13728"/>
                  <w:tcBorders/>
                  <w:tcMar>
                    <w:top w:type="dxa" w:w="15"/>
                    <w:left w:type="dxa" w:w="15"/>
                    <w:bottom w:type="dxa" w:w="15"/>
                    <w:right w:type="dxa" w:w="15"/>
                  </w:tcMar>
                  <w:vAlign w:val="top"/>
                </w:tcPr>
                <w:p/>
              </w:tc>
            </w:tr>
            <w:tr>
              <w:trPr>
                <w:trHeight w:hRule="atLeast" w:val="15"/>
              </w:trPr>
              <w:tc>
                <w:tcPr>
                  <w:tcW w:type="auto" w:w="0"/>
                  <w:gridSpan w:val="5"/>
                  <w:tcBorders/>
                  <w:shd w:fill="3b531a"/>
                  <w:tcMar>
                    <w:top w:type="dxa" w:w="15"/>
                    <w:left w:type="dxa" w:w="15"/>
                    <w:bottom w:type="dxa" w:w="15"/>
                    <w:right w:type="dxa" w:w="15"/>
                  </w:tcMar>
                  <w:vAlign w:val="top"/>
                </w:tcPr>
                <w:p/>
              </w:tc>
            </w:tr>
            <w:tr>
              <w:trPr>
                <w:trHeight w:hRule="atLeast" w:val="15"/>
              </w:trPr>
              <w:tc>
                <w:tcPr>
                  <w:tcW w:type="auto" w:w="0"/>
                  <w:gridSpan w:val="5"/>
                  <w:tcBorders/>
                  <w:shd w:fill="3b531a"/>
                  <w:tcMar>
                    <w:top w:type="dxa" w:w="15"/>
                    <w:left w:type="dxa" w:w="15"/>
                    <w:bottom w:type="dxa" w:w="15"/>
                    <w:right w:type="dxa" w:w="15"/>
                  </w:tcMar>
                  <w:vAlign w:val="top"/>
                </w:tcPr>
                <w:p/>
              </w:tc>
            </w:tr>
            <w:tr>
              <w:trPr>
                <w:trHeight w:hRule="atLeast" w:val="15"/>
              </w:trPr>
              <w:tc>
                <w:tcPr>
                  <w:tcW w:type="auto" w:w="0"/>
                  <w:gridSpan w:val="5"/>
                  <w:tcBorders/>
                  <w:shd w:fill="3b531a"/>
                  <w:tcMar>
                    <w:top w:type="dxa" w:w="15"/>
                    <w:left w:type="dxa" w:w="15"/>
                    <w:bottom w:type="dxa" w:w="15"/>
                    <w:right w:type="dxa" w:w="15"/>
                  </w:tcMar>
                  <w:vAlign w:val="top"/>
                </w:tcPr>
                <w:p/>
              </w:tc>
            </w:tr>
            <w:tr>
              <w:trPr/>
              <w:tc>
                <w:tcPr>
                  <w:tcW w:type="dxa" w:w="483"/>
                  <w:tcBorders/>
                  <w:tcMar>
                    <w:top w:type="dxa" w:w="15"/>
                    <w:left w:type="dxa" w:w="15"/>
                    <w:bottom w:type="dxa" w:w="15"/>
                    <w:right w:type="dxa" w:w="15"/>
                  </w:tcMar>
                  <w:vAlign w:val="top"/>
                </w:tcPr>
                <w:p/>
              </w:tc>
              <w:tc>
                <w:tcPr>
                  <w:tcW w:type="dxa" w:w="483"/>
                  <w:tcBorders/>
                  <w:tcMar>
                    <w:top w:type="dxa" w:w="15"/>
                    <w:left w:type="dxa" w:w="15"/>
                    <w:bottom w:type="dxa" w:w="15"/>
                    <w:right w:type="dxa" w:w="15"/>
                  </w:tcMar>
                  <w:vAlign w:val="top"/>
                </w:tcPr>
                <w:p/>
              </w:tc>
              <w:tc>
                <w:tcPr>
                  <w:tcW w:type="dxa" w:w="483"/>
                  <w:tcBorders/>
                  <w:tcMar>
                    <w:top w:type="dxa" w:w="15"/>
                    <w:left w:type="dxa" w:w="15"/>
                    <w:bottom w:type="dxa" w:w="15"/>
                    <w:right w:type="dxa" w:w="15"/>
                  </w:tcMar>
                  <w:vAlign w:val="top"/>
                </w:tcPr>
                <w:p/>
              </w:tc>
              <w:tc>
                <w:tcPr>
                  <w:tcW w:type="dxa" w:w="483"/>
                  <w:tcBorders/>
                  <w:tcMar>
                    <w:top w:type="dxa" w:w="15"/>
                    <w:left w:type="dxa" w:w="15"/>
                    <w:bottom w:type="dxa" w:w="15"/>
                    <w:right w:type="dxa" w:w="15"/>
                  </w:tcMar>
                  <w:vAlign w:val="top"/>
                </w:tcPr>
                <w:p/>
              </w:tc>
              <w:tc>
                <w:tcPr>
                  <w:tcW w:type="dxa" w:w="13728"/>
                  <w:tcBorders/>
                  <w:tcMar>
                    <w:top w:type="dxa" w:w="15"/>
                    <w:left w:type="dxa" w:w="15"/>
                    <w:bottom w:type="dxa" w:w="15"/>
                    <w:right w:type="dxa" w:w="15"/>
                  </w:tcMar>
                  <w:vAlign w:val="top"/>
                </w:tcPr>
                <w:p/>
              </w:tc>
            </w:tr>
            <w:tr>
              <w:trPr/>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1. 병증상</w:t>
                  </w:r>
                </w:p>
              </w:tc>
            </w:tr>
            <w:tr>
              <w:trPr>
                <w:trHeight w:hRule="atLeast" w:val="1020"/>
              </w:trPr>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잎과 줄기에 발생한다. 잎에는
처음에 흰색의 균총이 원형으로 나타나고, 진전하면 잎전체가 밀가루를 뿌려 놓은 것 같은 증상이 나타난다. 심해지면 잎이
갈변되고 고사한다. 잎, 줄기, 꼬투리에 발생하나 잎이 가장 피해가 크다. 처음에는 군데군데 흰가루 모양의 균사가
나타나고, 심해지면 잎전면에 흰가루 모양의 균사체로 뒤덮힌다. 오래되면 잎이 조기낙엽되어 후기생육이 불량하고, 임실률이
떨어진다.</w:t>
                  </w:r>
                </w:p>
              </w:tc>
            </w:tr>
            <w:tr>
              <w:trPr/>
              <w:tc>
                <w:tcPr>
                  <w:tcW w:type="auto" w:w="0"/>
                  <w:gridSpan w:val="5"/>
                  <w:tcBorders/>
                  <w:tcMar>
                    <w:top w:type="dxa" w:w="15"/>
                    <w:left w:type="dxa" w:w="15"/>
                    <w:bottom w:type="dxa" w:w="15"/>
                    <w:right w:type="dxa" w:w="15"/>
                  </w:tcMar>
                  <w:vAlign w:val="top"/>
                </w:tcPr>
                <w:p/>
              </w:tc>
            </w:tr>
            <w:tr>
              <w:trPr/>
              <w:tc>
                <w:tcPr>
                  <w:tcW w:type="auto" w:w="0"/>
                  <w:gridSpan w:val="5"/>
                  <w:tcBorders/>
                  <w:tcMar>
                    <w:top w:type="dxa" w:w="15"/>
                    <w:left w:type="dxa" w:w="15"/>
                    <w:bottom w:type="dxa" w:w="15"/>
                    <w:right w:type="dxa" w:w="15"/>
                  </w:tcMar>
                  <w:vAlign w:val="top"/>
                </w:tcPr>
                <w:p>
                  <w:pPr>
                    <w:spacing w:after="0"/>
                    <w:ind w:left="0"/>
                    <w:jc w:val="center"/>
                  </w:pPr>
                  <w:r>
                    <w:drawing>
                      <wp:inline distR="0" distL="0" distB="0" distT="0">
                        <wp:extent cy="1790700" cx="4667250"/>
                        <wp:effectExtent b="0" r="0" t="0" l="0"/>
                        <wp:docPr descr="" name="" id="0"/>
                        <wp:cNvGraphicFramePr>
                          <a:graphicFrameLocks noChangeAspect="true"/>
                        </wp:cNvGraphicFramePr>
                        <a:graphic>
                          <a:graphicData uri="http://schemas.openxmlformats.org/drawingml/2006/picture">
                            <pic:pic>
                              <pic:nvPicPr>
                                <pic:cNvPr name="" id="1"/>
                                <pic:cNvPicPr/>
                              </pic:nvPicPr>
                              <pic:blipFill>
                                <a:blip r:embed="rId4"/>
                                <a:stretch>
                                  <a:fillRect/>
                                </a:stretch>
                              </pic:blipFill>
                              <pic:spPr>
                                <a:xfrm>
                                  <a:off y="0" x="0"/>
                                  <a:ext cy="1790700" cx="4667250"/>
                                </a:xfrm>
                                <a:prstGeom prst="rect">
                                  <a:avLst/>
                                </a:prstGeom>
                              </pic:spPr>
                            </pic:pic>
                          </a:graphicData>
                        </a:graphic>
                      </wp:inline>
                    </w:drawing>
                  </w:r>
                </w:p>
              </w:tc>
            </w:tr>
            <w:tr>
              <w:trPr/>
              <w:tc>
                <w:tcPr>
                  <w:tcW w:type="auto" w:w="0"/>
                  <w:gridSpan w:val="5"/>
                  <w:tcBorders/>
                  <w:tcMar>
                    <w:top w:type="dxa" w:w="15"/>
                    <w:left w:type="dxa" w:w="15"/>
                    <w:bottom w:type="dxa" w:w="15"/>
                    <w:right w:type="dxa" w:w="15"/>
                  </w:tcMar>
                  <w:vAlign w:val="top"/>
                </w:tcPr>
                <w:p>
                  <w:pPr>
                    <w:spacing w:after="0"/>
                    <w:ind w:left="0"/>
                    <w:jc w:val="center"/>
                  </w:pPr>
                  <w:r>
                    <w:rPr>
                      <w:rFonts w:hAnsi="Malgun Gothic" w:ascii="Malgun Gothic"/>
                      <w:b/>
                      <w:i w:val="false"/>
                      <w:color w:val="333333"/>
                      <w:sz w:val="24"/>
                    </w:rPr>
                    <w:t>그림 1. 참깨흰가루병의 병증상 및 분생포자</w:t>
                  </w:r>
                </w:p>
              </w:tc>
            </w:tr>
            <w:tr>
              <w:trPr/>
              <w:tc>
                <w:tcPr>
                  <w:tcW w:type="auto" w:w="0"/>
                  <w:gridSpan w:val="5"/>
                  <w:tcBorders/>
                  <w:tcMar>
                    <w:top w:type="dxa" w:w="15"/>
                    <w:left w:type="dxa" w:w="15"/>
                    <w:bottom w:type="dxa" w:w="15"/>
                    <w:right w:type="dxa" w:w="15"/>
                  </w:tcMar>
                  <w:vAlign w:val="top"/>
                </w:tcPr>
                <w:p/>
              </w:tc>
            </w:tr>
            <w:tr>
              <w:trPr/>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2. 병원체</w:t>
                  </w:r>
                </w:p>
              </w:tc>
            </w:tr>
            <w:tr>
              <w:trPr/>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Oidium sesami</w:t>
                  </w:r>
                </w:p>
                <w:p>
                  <w:pPr>
                    <w:spacing w:after="0"/>
                    <w:ind w:left="0"/>
                    <w:jc w:val="left"/>
                  </w:pPr>
                  <w:r>
                    <w:rPr>
                      <w:rFonts w:hAnsi="Malgun Gothic" w:ascii="Malgun Gothic"/>
                      <w:b w:val="false"/>
                      <w:i w:val="false"/>
                      <w:color w:val="333333"/>
                      <w:sz w:val="24"/>
                    </w:rPr>
                    <w:t>로 진균계의 불완전균에 속하며,
활물기생균으로 인공배양이 되지 않고, 주로 분생포자에 의하여 전반되는 것으로 알려져 있다. 분생포자는 타원형, 무색,
단세포로 크기는 30~40×18~25㎛정도이다.</w:t>
                  </w:r>
                </w:p>
              </w:tc>
            </w:tr>
            <w:tr>
              <w:trPr/>
              <w:tc>
                <w:tcPr>
                  <w:tcW w:type="auto" w:w="0"/>
                  <w:gridSpan w:val="5"/>
                  <w:tcBorders/>
                  <w:tcMar>
                    <w:top w:type="dxa" w:w="15"/>
                    <w:left w:type="dxa" w:w="15"/>
                    <w:bottom w:type="dxa" w:w="15"/>
                    <w:right w:type="dxa" w:w="15"/>
                  </w:tcMar>
                  <w:vAlign w:val="top"/>
                </w:tcPr>
                <w:p/>
              </w:tc>
            </w:tr>
            <w:tr>
              <w:trPr/>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3. 발병</w:t>
                  </w:r>
                </w:p>
              </w:tc>
            </w:tr>
            <w:tr>
              <w:trPr/>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자낭각이나 균사체의 형태로 월동하여 1차전염이 될 수 있으나 정확한
것은 알려진 바 없다. 병반상에 형성된 분생포자가 바람에 비산 다른 기주나 건전잎으로 전파된다. 흰가루병은 주로
생육후기인 8월 하순~9월 초순에 많이 발생한다. 노지재배에서는 가을철에 발생이 심하여 잎 전체가 흰가루병균으로 뒤덮여
있어, 참깨종실의 성숙을 방해하여 수량에 영향을 미칠 수 있다.</w:t>
                  </w:r>
                </w:p>
              </w:tc>
            </w:tr>
            <w:tr>
              <w:trPr/>
              <w:tc>
                <w:tcPr>
                  <w:tcW w:type="auto" w:w="0"/>
                  <w:gridSpan w:val="5"/>
                  <w:tcBorders/>
                  <w:tcMar>
                    <w:top w:type="dxa" w:w="15"/>
                    <w:left w:type="dxa" w:w="15"/>
                    <w:bottom w:type="dxa" w:w="15"/>
                    <w:right w:type="dxa" w:w="15"/>
                  </w:tcMar>
                  <w:vAlign w:val="top"/>
                </w:tcPr>
                <w:p/>
              </w:tc>
            </w:tr>
            <w:tr>
              <w:trPr/>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4. 방제</w:t>
                  </w:r>
                </w:p>
              </w:tc>
            </w:tr>
            <w:tr>
              <w:trPr/>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 낙엽된 이병잎은 모아 소각한다.</w:t>
                  </w:r>
                  <w:r>
                    <w:br/>
                  </w:r>
                  <w:r>
                    <w:rPr>
                      <w:rFonts w:hAnsi="Malgun Gothic" w:ascii="Malgun Gothic"/>
                      <w:b w:val="false"/>
                      <w:i w:val="false"/>
                      <w:color w:val="333333"/>
                      <w:sz w:val="24"/>
                    </w:rPr>
                    <w:t>
○ 건전한 생육을 유도한다.</w:t>
                  </w:r>
                  <w:r>
                    <w:br/>
                  </w:r>
                  <w:r>
                    <w:rPr>
                      <w:rFonts w:hAnsi="Malgun Gothic" w:ascii="Malgun Gothic"/>
                      <w:b w:val="false"/>
                      <w:i w:val="false"/>
                      <w:color w:val="333333"/>
                      <w:sz w:val="24"/>
                    </w:rPr>
                    <w:t xml:space="preserve">
○ </w:t>
                  </w:r>
                  <w:r>
                    <w:rPr>
                      <w:rFonts w:hAnsi="Malgun Gothic" w:ascii="Malgun Gothic"/>
                      <w:b w:val="false"/>
                      <w:i w:val="false"/>
                      <w:color w:val="000000"/>
                      <w:sz w:val="24"/>
                    </w:rPr>
                    <w:t>등록약제로</w:t>
                  </w:r>
                  <w:r>
                    <w:rPr>
                      <w:rFonts w:hAnsi="Malgun Gothic" w:ascii="Malgun Gothic"/>
                      <w:b w:val="false"/>
                      <w:i w:val="false"/>
                      <w:color w:val="000000"/>
                      <w:sz w:val="24"/>
                    </w:rPr>
                    <w:t xml:space="preserve"> </w:t>
                  </w:r>
                  <w:r>
                    <w:rPr>
                      <w:rFonts w:hAnsi="Malgun Gothic" w:ascii="Malgun Gothic"/>
                      <w:b w:val="false"/>
                      <w:i w:val="false"/>
                      <w:color w:val="000000"/>
                      <w:sz w:val="24"/>
                    </w:rPr>
                    <w:t>농약안전사용기준에</w:t>
                  </w:r>
                  <w:r>
                    <w:rPr>
                      <w:rFonts w:hAnsi="Malgun Gothic" w:ascii="Malgun Gothic"/>
                      <w:b w:val="false"/>
                      <w:i w:val="false"/>
                      <w:color w:val="000000"/>
                      <w:sz w:val="24"/>
                    </w:rPr>
                    <w:t xml:space="preserve"> </w:t>
                  </w:r>
                  <w:r>
                    <w:rPr>
                      <w:rFonts w:hAnsi="Malgun Gothic" w:ascii="Malgun Gothic"/>
                      <w:b w:val="false"/>
                      <w:i w:val="false"/>
                      <w:color w:val="000000"/>
                      <w:sz w:val="24"/>
                    </w:rPr>
                    <w:t>따라</w:t>
                  </w:r>
                  <w:r>
                    <w:rPr>
                      <w:rFonts w:hAnsi="Malgun Gothic" w:ascii="Malgun Gothic"/>
                      <w:b w:val="false"/>
                      <w:i w:val="false"/>
                      <w:color w:val="000000"/>
                      <w:sz w:val="24"/>
                    </w:rPr>
                    <w:t xml:space="preserve"> </w:t>
                  </w:r>
                  <w:r>
                    <w:rPr>
                      <w:rFonts w:hAnsi="Malgun Gothic" w:ascii="Malgun Gothic"/>
                      <w:b w:val="false"/>
                      <w:i w:val="false"/>
                      <w:color w:val="000000"/>
                      <w:sz w:val="24"/>
                    </w:rPr>
                    <w:t>방제한다</w:t>
                  </w:r>
                  <w:r>
                    <w:rPr>
                      <w:rFonts w:hAnsi="Malgun Gothic" w:ascii="Malgun Gothic"/>
                      <w:b w:val="false"/>
                      <w:i w:val="false"/>
                      <w:color w:val="000000"/>
                      <w:sz w:val="24"/>
                    </w:rPr>
                    <w:t>.</w:t>
                  </w:r>
                  <w:r>
                    <w:rPr>
                      <w:rFonts w:hAnsi="Malgun Gothic" w:ascii="Malgun Gothic"/>
                      <w:b w:val="false"/>
                      <w:i w:val="false"/>
                      <w:color w:val="000000"/>
                      <w:sz w:val="24"/>
                    </w:rPr>
                    <w:t xml:space="preserve"> </w:t>
                  </w:r>
                  <w:r>
                    <w:br/>
                  </w:r>
                  <w:r>
                    <w:rPr>
                      <w:rFonts w:hAnsi="Malgun Gothic" w:ascii="Malgun Gothic"/>
                      <w:b w:val="false"/>
                      <w:i w:val="false"/>
                      <w:color w:val="000000"/>
                      <w:sz w:val="24"/>
                    </w:rPr>
                    <w:t>
</w:t>
                  </w:r>
                  <w:r>
                    <w:rPr>
                      <w:rFonts w:hAnsi="Malgun Gothic" w:ascii="Malgun Gothic"/>
                      <w:b w:val="false"/>
                      <w:i w:val="false"/>
                      <w:color w:val="333333"/>
                      <w:sz w:val="24"/>
                    </w:rPr>
                    <w:t xml:space="preserve"> 
</w:t>
                  </w:r>
                </w:p>
                <w:p>
                  <w:pPr>
                    <w:spacing w:after="0"/>
                    <w:ind w:left="0"/>
                    <w:jc w:val="left"/>
                  </w:pPr>
                  <w:r>
                    <w:rPr>
                      <w:rFonts w:hAnsi="Malgun Gothic" w:ascii="Malgun Gothic"/>
                      <w:b w:val="false"/>
                      <w:i w:val="false"/>
                      <w:color w:val="000000"/>
                      <w:sz w:val="24"/>
                    </w:rPr>
                    <w:t>(</w:t>
                  </w:r>
                  <w:r>
                    <w:rPr>
                      <w:rFonts w:hAnsi="Malgun Gothic" w:ascii="Malgun Gothic"/>
                      <w:b w:val="false"/>
                      <w:i w:val="false"/>
                      <w:color w:val="000000"/>
                      <w:sz w:val="24"/>
                    </w:rPr>
                    <w:t xml:space="preserve"> </w:t>
                  </w:r>
                  <w:r>
                    <w:rPr>
                      <w:rFonts w:hAnsi="Malgun Gothic" w:ascii="Malgun Gothic"/>
                      <w:b w:val="false"/>
                      <w:i w:val="false"/>
                      <w:color w:val="000000"/>
                      <w:sz w:val="24"/>
                    </w:rPr>
                    <w:t>등록약제</w:t>
                  </w:r>
                  <w:r>
                    <w:rPr>
                      <w:rFonts w:hAnsi="Malgun Gothic" w:ascii="Malgun Gothic"/>
                      <w:b w:val="false"/>
                      <w:i w:val="false"/>
                      <w:color w:val="000000"/>
                      <w:sz w:val="24"/>
                    </w:rPr>
                    <w:t xml:space="preserve"> </w:t>
                  </w:r>
                  <w:r>
                    <w:rPr>
                      <w:rFonts w:hAnsi="Malgun Gothic" w:ascii="Malgun Gothic"/>
                      <w:b w:val="false"/>
                      <w:i w:val="false"/>
                      <w:color w:val="000000"/>
                      <w:sz w:val="24"/>
                    </w:rPr>
                    <w:t>확인</w:t>
                  </w:r>
                  <w:r>
                    <w:rPr>
                      <w:rFonts w:hAnsi="Malgun Gothic" w:ascii="Malgun Gothic"/>
                      <w:b w:val="false"/>
                      <w:i w:val="false"/>
                      <w:color w:val="000000"/>
                      <w:sz w:val="24"/>
                    </w:rPr>
                    <w:t xml:space="preserve"> </w:t>
                  </w:r>
                  <w:r>
                    <w:rPr>
                      <w:rFonts w:hAnsi="Malgun Gothic" w:ascii="Malgun Gothic"/>
                      <w:b w:val="false"/>
                      <w:i w:val="false"/>
                      <w:color w:val="000000"/>
                      <w:sz w:val="24"/>
                    </w:rPr>
                    <w:t>:</w:t>
                  </w:r>
                  <w:r>
                    <w:rPr>
                      <w:rFonts w:hAnsi="Malgun Gothic" w:ascii="Malgun Gothic"/>
                      <w:b w:val="false"/>
                      <w:i w:val="false"/>
                      <w:color w:val="000000"/>
                      <w:sz w:val="24"/>
                    </w:rPr>
                    <w:t xml:space="preserve"> </w:t>
                  </w:r>
                  <w:r>
                    <w:rPr>
                      <w:rFonts w:hAnsi="Malgun Gothic" w:ascii="Malgun Gothic"/>
                      <w:b w:val="false"/>
                      <w:i w:val="false"/>
                      <w:color w:val="000000"/>
                      <w:sz w:val="24"/>
                    </w:rPr>
                    <w:t>농사로</w:t>
                  </w:r>
                  <w:r>
                    <w:rPr>
                      <w:rFonts w:hAnsi="Malgun Gothic" w:ascii="Malgun Gothic"/>
                      <w:b w:val="false"/>
                      <w:i w:val="false"/>
                      <w:color w:val="000000"/>
                      <w:sz w:val="24"/>
                    </w:rPr>
                    <w:t xml:space="preserve"> </w:t>
                  </w:r>
                  <w:r>
                    <w:rPr>
                      <w:rFonts w:hAnsi="Malgun Gothic" w:ascii="Malgun Gothic"/>
                      <w:b w:val="false"/>
                      <w:i w:val="false"/>
                      <w:color w:val="000000"/>
                      <w:sz w:val="24"/>
                    </w:rPr>
                    <w:t>–&gt;
</w:t>
                  </w:r>
                  <w:r>
                    <w:rPr>
                      <w:rFonts w:hAnsi="Malgun Gothic" w:ascii="Malgun Gothic"/>
                      <w:b w:val="false"/>
                      <w:i w:val="false"/>
                      <w:color w:val="000000"/>
                      <w:sz w:val="24"/>
                    </w:rPr>
                    <w:t>농자재</w:t>
                  </w:r>
                  <w:r>
                    <w:rPr>
                      <w:rFonts w:hAnsi="Malgun Gothic" w:ascii="Malgun Gothic"/>
                      <w:b w:val="false"/>
                      <w:i w:val="false"/>
                      <w:color w:val="000000"/>
                      <w:sz w:val="24"/>
                    </w:rPr>
                    <w:t>–&gt;</w:t>
                  </w:r>
                  <w:r>
                    <w:rPr>
                      <w:rFonts w:hAnsi="Malgun Gothic" w:ascii="Malgun Gothic"/>
                      <w:b w:val="false"/>
                      <w:i w:val="false"/>
                      <w:color w:val="000000"/>
                      <w:sz w:val="24"/>
                    </w:rPr>
                    <w:t xml:space="preserve"> </w:t>
                  </w:r>
                  <w:r>
                    <w:rPr>
                      <w:rFonts w:hAnsi="Malgun Gothic" w:ascii="Malgun Gothic"/>
                      <w:b w:val="false"/>
                      <w:i w:val="false"/>
                      <w:color w:val="000000"/>
                      <w:sz w:val="24"/>
                    </w:rPr>
                    <w:t>농약</w:t>
                  </w:r>
                  <w:r>
                    <w:rPr>
                      <w:rFonts w:hAnsi="Malgun Gothic" w:ascii="Malgun Gothic"/>
                      <w:b w:val="false"/>
                      <w:i w:val="false"/>
                      <w:color w:val="000000"/>
                      <w:sz w:val="24"/>
                    </w:rPr>
                    <w:t>–&gt;</w:t>
                  </w:r>
                  <w:r>
                    <w:rPr>
                      <w:rFonts w:hAnsi="Malgun Gothic" w:ascii="Malgun Gothic"/>
                      <w:b w:val="false"/>
                      <w:i w:val="false"/>
                      <w:color w:val="000000"/>
                      <w:sz w:val="24"/>
                    </w:rPr>
                    <w:t xml:space="preserve"> </w:t>
                  </w:r>
                  <w:r>
                    <w:rPr>
                      <w:rFonts w:hAnsi="Malgun Gothic" w:ascii="Malgun Gothic"/>
                      <w:b w:val="false"/>
                      <w:i w:val="false"/>
                      <w:color w:val="000000"/>
                      <w:sz w:val="24"/>
                    </w:rPr>
                    <w:t>농약등록현황</w:t>
                  </w:r>
                  <w:r>
                    <w:rPr>
                      <w:rFonts w:hAnsi="Malgun Gothic" w:ascii="Malgun Gothic"/>
                      <w:b w:val="false"/>
                      <w:i w:val="false"/>
                      <w:color w:val="000000"/>
                      <w:sz w:val="24"/>
                    </w:rPr>
                    <w:t>)</w:t>
                  </w:r>
                  <w:r>
                    <w:br/>
                  </w:r>
                  <w:r>
                    <w:rPr>
                      <w:rFonts w:hAnsi="Malgun Gothic" w:ascii="Malgun Gothic"/>
                      <w:b w:val="false"/>
                      <w:i w:val="false"/>
                      <w:color w:val="333333"/>
                      <w:sz w:val="24"/>
                    </w:rPr>
                    <w:t>
○ 흰가루병균이 잎 표면에 노출하고 있기 때문에 초기에 적용약제를 살포한다.</w:t>
                  </w:r>
                  <w:r>
                    <w:br/>
                  </w:r>
                  <w:r>
                    <w:rPr>
                      <w:rFonts w:hAnsi="Malgun Gothic" w:ascii="Malgun Gothic"/>
                      <w:b w:val="false"/>
                      <w:i w:val="false"/>
                      <w:color w:val="333333"/>
                      <w:sz w:val="24"/>
                    </w:rPr>
                    <w:t>
○ 질소질 비료과용을 회피하고 밀식을 하면 특히 통풍을 잘 하여야 한다.</w:t>
                  </w:r>
                  <w:r>
                    <w:br/>
                  </w:r>
                  <w:r>
                    <w:rPr>
                      <w:rFonts w:hAnsi="Malgun Gothic" w:ascii="Malgun Gothic"/>
                      <w:b w:val="false"/>
                      <w:i w:val="false"/>
                      <w:color w:val="333333"/>
                      <w:sz w:val="24"/>
                    </w:rPr>
                    <w:t>
○ 흰가루병은 일반적으로 건조한 경우에 발생함으로 낮에 관수하여 습도를 높인다.</w:t>
                  </w:r>
                </w:p>
              </w:tc>
            </w:tr>
            <w:tr>
              <w:trPr/>
              <w:tc>
                <w:tcPr>
                  <w:tcW w:type="dxa" w:w="483"/>
                  <w:tcBorders/>
                  <w:tcMar>
                    <w:top w:type="dxa" w:w="15"/>
                    <w:left w:type="dxa" w:w="15"/>
                    <w:bottom w:type="dxa" w:w="15"/>
                    <w:right w:type="dxa" w:w="15"/>
                  </w:tcMar>
                  <w:vAlign w:val="top"/>
                </w:tcPr>
                <w:p/>
              </w:tc>
              <w:tc>
                <w:tcPr>
                  <w:tcW w:type="auto" w:w="0"/>
                  <w:gridSpan w:val="4"/>
                  <w:tcBorders/>
                  <w:tcMar>
                    <w:top w:type="dxa" w:w="15"/>
                    <w:left w:type="dxa" w:w="15"/>
                    <w:bottom w:type="dxa" w:w="15"/>
                    <w:right w:type="dxa" w:w="15"/>
                  </w:tcMar>
                  <w:vAlign w:val="top"/>
                </w:tcPr>
                <w:p/>
              </w:tc>
            </w:tr>
            <w:tr>
              <w:trPr/>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표 1. 참깨흰가루병 방제약제</w:t>
                  </w:r>
                </w:p>
              </w:tc>
            </w:tr>
            <w:tr>
              <w:trPr/>
              <w:tc>
                <w:tcPr>
                  <w:tcW w:type="auto" w:w="0"/>
                  <w:gridSpan w:val="5"/>
                  <w:tcBorders/>
                  <w:tcMar>
                    <w:top w:type="dxa" w:w="15"/>
                    <w:left w:type="dxa" w:w="15"/>
                    <w:bottom w:type="dxa" w:w="15"/>
                    <w:right w:type="dxa" w:w="15"/>
                  </w:tcMar>
                  <w:vAlign w:val="top"/>
                </w:tcPr>
                <w:tbl>
                  <w:tblPr>
                    <w:tblW w:type="auto" w:w="0"/>
                    <w:tblCellSpacing w:type="auto" w:w="0"/>
                    <w:tblBorders>
                      <w:top w:val="none"/>
                      <w:left w:val="none"/>
                      <w:bottom w:val="none"/>
                      <w:right w:val="none"/>
                      <w:insideH w:val="none"/>
                      <w:insideV w:val="none"/>
                    </w:tblBorders>
                  </w:tblPr>
                  <w:tblGrid>
                    <w:gridCol w:w="1846"/>
                    <w:gridCol w:w="2991"/>
                    <w:gridCol w:w="3564"/>
                    <w:gridCol w:w="3565"/>
                    <w:gridCol w:w="2419"/>
                    <w:gridCol w:w="1275"/>
                  </w:tblGrid>
                  <w:tr>
                    <w:trPr>
                      <w:trHeight w:hRule="atLeast" w:val="15"/>
                    </w:trPr>
                    <w:tc>
                      <w:tcPr>
                        <w:tcW w:type="dxa" w:w="1846"/>
                        <w:vMerge w:val="restart"/>
                        <w:tcBorders>
                          <w:top w:sz="8" w:color="333333" w:val="single"/>
                          <w:left w:sz="8" w:color="333333" w:val="single"/>
                          <w:bottom w:sz="8" w:color="333333" w:val="single"/>
                          <w:right w:sz="8" w:color="333333" w:val="single"/>
                        </w:tcBorders>
                        <w:shd w:fill="dadada"/>
                        <w:tcMar>
                          <w:top w:type="dxa" w:w="15"/>
                          <w:left w:type="dxa" w:w="15"/>
                          <w:bottom w:type="dxa" w:w="15"/>
                          <w:right w:type="dxa" w:w="15"/>
                        </w:tcMar>
                        <w:vAlign w:val="top"/>
                      </w:tcPr>
                      <w:p>
                        <w:pPr>
                          <w:spacing w:after="0"/>
                          <w:ind w:left="0"/>
                          <w:jc w:val="center"/>
                        </w:pPr>
                        <w:r>
                          <w:rPr>
                            <w:rFonts w:hAnsi="Malgun Gothic" w:ascii="Malgun Gothic"/>
                            <w:b w:val="false"/>
                            <w:i w:val="false"/>
                            <w:color w:val="333333"/>
                            <w:sz w:val="24"/>
                          </w:rPr>
                          <w:t>적 용 약 제</w:t>
                        </w:r>
                      </w:p>
                    </w:tc>
                    <w:tc>
                      <w:tcPr>
                        <w:tcW w:type="dxa" w:w="2991"/>
                        <w:vMerge w:val="restart"/>
                        <w:tcBorders>
                          <w:top w:sz="8" w:color="333333" w:val="single"/>
                          <w:left w:sz="8" w:color="333333" w:val="single"/>
                          <w:bottom w:sz="8" w:color="333333" w:val="single"/>
                          <w:right w:sz="8" w:color="333333" w:val="single"/>
                        </w:tcBorders>
                        <w:shd w:fill="dadada"/>
                        <w:tcMar>
                          <w:top w:type="dxa" w:w="15"/>
                          <w:left w:type="dxa" w:w="15"/>
                          <w:bottom w:type="dxa" w:w="15"/>
                          <w:right w:type="dxa" w:w="15"/>
                        </w:tcMar>
                        <w:vAlign w:val="top"/>
                      </w:tcPr>
                      <w:p>
                        <w:pPr>
                          <w:spacing w:after="0"/>
                          <w:ind w:left="0"/>
                          <w:jc w:val="center"/>
                        </w:pPr>
                        <w:r>
                          <w:rPr>
                            <w:rFonts w:hAnsi="Malgun Gothic" w:ascii="Malgun Gothic"/>
                            <w:b w:val="false"/>
                            <w:i w:val="false"/>
                            <w:color w:val="333333"/>
                            <w:sz w:val="24"/>
                          </w:rPr>
                          <w:t>사 용 적 기</w:t>
                        </w:r>
                      </w:p>
                    </w:tc>
                    <w:tc>
                      <w:tcPr>
                        <w:tcW w:type="dxa" w:w="3564"/>
                        <w:vMerge w:val="restart"/>
                        <w:tcBorders>
                          <w:top w:sz="8" w:color="333333" w:val="single"/>
                          <w:left w:sz="8" w:color="333333" w:val="single"/>
                          <w:bottom w:sz="8" w:color="333333" w:val="single"/>
                          <w:right w:sz="8" w:color="333333" w:val="single"/>
                        </w:tcBorders>
                        <w:shd w:fill="dadada"/>
                        <w:tcMar>
                          <w:top w:type="dxa" w:w="15"/>
                          <w:left w:type="dxa" w:w="15"/>
                          <w:bottom w:type="dxa" w:w="15"/>
                          <w:right w:type="dxa" w:w="15"/>
                        </w:tcMar>
                        <w:vAlign w:val="top"/>
                      </w:tcPr>
                      <w:p>
                        <w:pPr>
                          <w:spacing w:after="0"/>
                          <w:ind w:left="0"/>
                          <w:jc w:val="center"/>
                        </w:pPr>
                        <w:r>
                          <w:rPr>
                            <w:rFonts w:hAnsi="Malgun Gothic" w:ascii="Malgun Gothic"/>
                            <w:b w:val="false"/>
                            <w:i w:val="false"/>
                            <w:color w:val="333333"/>
                            <w:sz w:val="24"/>
                          </w:rPr>
                          <w:t>물 20ℓ당</w:t>
                        </w:r>
                        <w:r>
                          <w:br/>
                        </w:r>
                        <w:r>
                          <w:rPr>
                            <w:rFonts w:hAnsi="Malgun Gothic" w:ascii="Malgun Gothic"/>
                            <w:b w:val="false"/>
                            <w:i w:val="false"/>
                            <w:color w:val="333333"/>
                            <w:sz w:val="24"/>
                          </w:rPr>
                          <w:t>
사용약량</w:t>
                        </w:r>
                      </w:p>
                    </w:tc>
                    <w:tc>
                      <w:tcPr>
                        <w:tcW w:type="dxa" w:w="3565"/>
                        <w:vMerge w:val="restart"/>
                        <w:tcBorders>
                          <w:top w:sz="8" w:color="333333" w:val="single"/>
                          <w:left w:sz="8" w:color="333333" w:val="single"/>
                          <w:bottom w:sz="8" w:color="333333" w:val="single"/>
                          <w:right w:sz="8" w:color="333333" w:val="single"/>
                        </w:tcBorders>
                        <w:shd w:fill="dadada"/>
                        <w:tcMar>
                          <w:top w:type="dxa" w:w="15"/>
                          <w:left w:type="dxa" w:w="15"/>
                          <w:bottom w:type="dxa" w:w="15"/>
                          <w:right w:type="dxa" w:w="15"/>
                        </w:tcMar>
                        <w:vAlign w:val="top"/>
                      </w:tcPr>
                      <w:p>
                        <w:pPr>
                          <w:spacing w:after="0"/>
                          <w:ind w:left="0"/>
                          <w:jc w:val="center"/>
                        </w:pPr>
                        <w:r>
                          <w:rPr>
                            <w:rFonts w:hAnsi="Malgun Gothic" w:ascii="Malgun Gothic"/>
                            <w:b w:val="false"/>
                            <w:i w:val="false"/>
                            <w:color w:val="333333"/>
                            <w:sz w:val="24"/>
                          </w:rPr>
                          <w:t>10a당</w:t>
                        </w:r>
                        <w:r>
                          <w:br/>
                        </w:r>
                        <w:r>
                          <w:rPr>
                            <w:rFonts w:hAnsi="Malgun Gothic" w:ascii="Malgun Gothic"/>
                            <w:b w:val="false"/>
                            <w:i w:val="false"/>
                            <w:color w:val="333333"/>
                            <w:sz w:val="24"/>
                          </w:rPr>
                          <w:t>
사용약량</w:t>
                        </w:r>
                        <w:r>
                          <w:br/>
                        </w:r>
                        <w:r>
                          <w:rPr>
                            <w:rFonts w:hAnsi="Malgun Gothic" w:ascii="Malgun Gothic"/>
                            <w:b w:val="false"/>
                            <w:i w:val="false"/>
                            <w:color w:val="333333"/>
                            <w:sz w:val="24"/>
                          </w:rPr>
                          <w:t>
</w:t>
                        </w:r>
                      </w:p>
                    </w:tc>
                    <w:tc>
                      <w:tcPr>
                        <w:tcW w:type="auto" w:w="0"/>
                        <w:gridSpan w:val="2"/>
                        <w:tcBorders>
                          <w:top w:sz="8" w:color="333333" w:val="single"/>
                          <w:left w:sz="8" w:color="333333" w:val="single"/>
                          <w:bottom w:sz="8" w:color="333333" w:val="single"/>
                          <w:right w:sz="8" w:color="333333" w:val="single"/>
                        </w:tcBorders>
                        <w:shd w:fill="dadada"/>
                        <w:tcMar>
                          <w:top w:type="dxa" w:w="15"/>
                          <w:left w:type="dxa" w:w="15"/>
                          <w:bottom w:type="dxa" w:w="15"/>
                          <w:right w:type="dxa" w:w="15"/>
                        </w:tcMar>
                        <w:vAlign w:val="top"/>
                      </w:tcPr>
                      <w:p>
                        <w:pPr>
                          <w:spacing w:after="0"/>
                          <w:ind w:left="0"/>
                          <w:jc w:val="center"/>
                        </w:pPr>
                        <w:r>
                          <w:rPr>
                            <w:rFonts w:hAnsi="Malgun Gothic" w:ascii="Malgun Gothic"/>
                            <w:b w:val="false"/>
                            <w:i w:val="false"/>
                            <w:color w:val="333333"/>
                            <w:sz w:val="24"/>
                          </w:rPr>
                          <w:t>안전사용기준</w:t>
                        </w:r>
                      </w:p>
                    </w:tc>
                  </w:tr>
                  <w:tr>
                    <w:trPr>
                      <w:trHeight w:hRule="atLeast" w:val="15"/>
                    </w:trPr>
                    <w:tc>
                      <w:tcPr>
                        <w:tcW w:type="auto" w:w="0"/>
                        <w:vMerge/>
                        <w:tcBorders>
                          <w:top w:val="nil"/>
                          <w:left w:sz="8" w:color="333333" w:val="single"/>
                          <w:bottom w:sz="8" w:color="333333" w:val="single"/>
                          <w:right w:sz="8" w:color="333333" w:val="single"/>
                        </w:tcBorders>
                      </w:tcPr>
                      <w:p/>
                    </w:tc>
                    <w:tc>
                      <w:tcPr>
                        <w:tcW w:type="auto" w:w="0"/>
                        <w:vMerge/>
                        <w:tcBorders>
                          <w:top w:val="nil"/>
                          <w:left w:sz="8" w:color="333333" w:val="single"/>
                          <w:bottom w:sz="8" w:color="333333" w:val="single"/>
                          <w:right w:sz="8" w:color="333333" w:val="single"/>
                        </w:tcBorders>
                      </w:tcPr>
                      <w:p/>
                    </w:tc>
                    <w:tc>
                      <w:tcPr>
                        <w:tcW w:type="auto" w:w="0"/>
                        <w:vMerge/>
                        <w:tcBorders>
                          <w:top w:val="nil"/>
                          <w:left w:sz="8" w:color="333333" w:val="single"/>
                          <w:bottom w:sz="8" w:color="333333" w:val="single"/>
                          <w:right w:sz="8" w:color="333333" w:val="single"/>
                        </w:tcBorders>
                      </w:tcPr>
                      <w:p/>
                    </w:tc>
                    <w:tc>
                      <w:tcPr>
                        <w:tcW w:type="auto" w:w="0"/>
                        <w:vMerge/>
                        <w:tcBorders>
                          <w:top w:val="nil"/>
                          <w:left w:sz="8" w:color="333333" w:val="single"/>
                          <w:bottom w:sz="8" w:color="333333" w:val="single"/>
                          <w:right w:sz="8" w:color="333333" w:val="single"/>
                        </w:tcBorders>
                      </w:tcPr>
                      <w:p/>
                    </w:tc>
                    <w:tc>
                      <w:tcPr>
                        <w:tcW w:type="dxa" w:w="2419"/>
                        <w:tcBorders>
                          <w:top w:sz="8" w:color="333333" w:val="single"/>
                          <w:left w:sz="8" w:color="333333" w:val="single"/>
                          <w:bottom w:sz="8" w:color="333333" w:val="single"/>
                          <w:right w:sz="8" w:color="333333" w:val="single"/>
                        </w:tcBorders>
                        <w:shd w:fill="dadada"/>
                        <w:tcMar>
                          <w:top w:type="dxa" w:w="15"/>
                          <w:left w:type="dxa" w:w="15"/>
                          <w:bottom w:type="dxa" w:w="15"/>
                          <w:right w:type="dxa" w:w="15"/>
                        </w:tcMar>
                        <w:vAlign w:val="top"/>
                      </w:tcPr>
                      <w:p>
                        <w:pPr>
                          <w:spacing w:after="0"/>
                          <w:ind w:left="0"/>
                          <w:jc w:val="center"/>
                        </w:pPr>
                        <w:r>
                          <w:rPr>
                            <w:rFonts w:hAnsi="Malgun Gothic" w:ascii="Malgun Gothic"/>
                            <w:b w:val="false"/>
                            <w:i w:val="false"/>
                            <w:color w:val="333333"/>
                            <w:sz w:val="24"/>
                          </w:rPr>
                          <w:t>시 기</w:t>
                        </w:r>
                      </w:p>
                    </w:tc>
                    <w:tc>
                      <w:tcPr>
                        <w:tcW w:type="dxa" w:w="1275"/>
                        <w:tcBorders>
                          <w:top w:sz="8" w:color="333333" w:val="single"/>
                          <w:left w:sz="8" w:color="333333" w:val="single"/>
                          <w:bottom w:sz="8" w:color="333333" w:val="single"/>
                          <w:right w:sz="8" w:color="333333" w:val="single"/>
                        </w:tcBorders>
                        <w:shd w:fill="dadada"/>
                        <w:tcMar>
                          <w:top w:type="dxa" w:w="15"/>
                          <w:left w:type="dxa" w:w="15"/>
                          <w:bottom w:type="dxa" w:w="15"/>
                          <w:right w:type="dxa" w:w="15"/>
                        </w:tcMar>
                        <w:vAlign w:val="top"/>
                      </w:tcPr>
                      <w:p>
                        <w:pPr>
                          <w:spacing w:after="0"/>
                          <w:ind w:left="0"/>
                          <w:jc w:val="center"/>
                        </w:pPr>
                        <w:r>
                          <w:rPr>
                            <w:rFonts w:hAnsi="Malgun Gothic" w:ascii="Malgun Gothic"/>
                            <w:b w:val="false"/>
                            <w:i w:val="false"/>
                            <w:color w:val="333333"/>
                            <w:sz w:val="24"/>
                          </w:rPr>
                          <w:t>횟 수</w:t>
                        </w:r>
                      </w:p>
                    </w:tc>
                  </w:tr>
                  <w:tr>
                    <w:trPr>
                      <w:trHeight w:hRule="atLeast" w:val="15"/>
                    </w:trPr>
                    <w:tc>
                      <w:tcPr>
                        <w:tcW w:type="dxa" w:w="1846"/>
                        <w:tcBorders>
                          <w:top w:sz="8" w:color="333333" w:val="single"/>
                          <w:left w:sz="8" w:color="333333" w:val="single"/>
                          <w:bottom w:sz="8" w:color="333333" w:val="single"/>
                          <w:right w:sz="8" w:color="333333" w:val="single"/>
                        </w:tcBorders>
                        <w:tcMar>
                          <w:top w:type="dxa" w:w="15"/>
                          <w:left w:type="dxa" w:w="15"/>
                          <w:bottom w:type="dxa" w:w="15"/>
                          <w:right w:type="dxa" w:w="15"/>
                        </w:tcMar>
                        <w:vAlign w:val="top"/>
                      </w:tcPr>
                      <w:p>
                        <w:pPr>
                          <w:spacing w:after="0"/>
                          <w:ind w:left="0"/>
                          <w:jc w:val="center"/>
                        </w:pPr>
                        <w:r>
                          <w:rPr>
                            <w:rFonts w:hAnsi="Malgun Gothic" w:ascii="Malgun Gothic"/>
                            <w:b w:val="false"/>
                            <w:i w:val="false"/>
                            <w:color w:val="333333"/>
                            <w:sz w:val="24"/>
                          </w:rPr>
                          <w:t>메타실·가벤다수화제</w:t>
                        </w:r>
                      </w:p>
                    </w:tc>
                    <w:tc>
                      <w:tcPr>
                        <w:tcW w:type="dxa" w:w="2991"/>
                        <w:tcBorders>
                          <w:top w:sz="8" w:color="333333" w:val="single"/>
                          <w:left w:sz="8" w:color="333333" w:val="single"/>
                          <w:bottom w:sz="8" w:color="333333" w:val="single"/>
                          <w:right w:sz="8" w:color="333333" w:val="single"/>
                        </w:tcBorders>
                        <w:tcMar>
                          <w:top w:type="dxa" w:w="15"/>
                          <w:left w:type="dxa" w:w="15"/>
                          <w:bottom w:type="dxa" w:w="15"/>
                          <w:right w:type="dxa" w:w="15"/>
                        </w:tcMar>
                        <w:vAlign w:val="top"/>
                      </w:tcPr>
                      <w:p>
                        <w:pPr>
                          <w:spacing w:after="0"/>
                          <w:ind w:left="0"/>
                          <w:jc w:val="center"/>
                        </w:pPr>
                        <w:r>
                          <w:rPr>
                            <w:rFonts w:hAnsi="Malgun Gothic" w:ascii="Malgun Gothic"/>
                            <w:b w:val="false"/>
                            <w:i w:val="false"/>
                            <w:color w:val="333333"/>
                            <w:sz w:val="24"/>
                          </w:rPr>
                          <w:t>발병직전부터</w:t>
                        </w:r>
                        <w:r>
                          <w:br/>
                        </w:r>
                        <w:r>
                          <w:rPr>
                            <w:rFonts w:hAnsi="Malgun Gothic" w:ascii="Malgun Gothic"/>
                            <w:b w:val="false"/>
                            <w:i w:val="false"/>
                            <w:color w:val="333333"/>
                            <w:sz w:val="24"/>
                          </w:rPr>
                          <w:t>
10일 간격</w:t>
                        </w:r>
                      </w:p>
                    </w:tc>
                    <w:tc>
                      <w:tcPr>
                        <w:tcW w:type="dxa" w:w="3564"/>
                        <w:tcBorders>
                          <w:top w:sz="8" w:color="333333" w:val="single"/>
                          <w:left w:sz="8" w:color="333333" w:val="single"/>
                          <w:bottom w:sz="8" w:color="333333" w:val="single"/>
                          <w:right w:sz="8" w:color="333333" w:val="single"/>
                        </w:tcBorders>
                        <w:tcMar>
                          <w:top w:type="dxa" w:w="15"/>
                          <w:left w:type="dxa" w:w="15"/>
                          <w:bottom w:type="dxa" w:w="15"/>
                          <w:right w:type="dxa" w:w="15"/>
                        </w:tcMar>
                        <w:vAlign w:val="top"/>
                      </w:tcPr>
                      <w:p>
                        <w:pPr>
                          <w:spacing w:after="0"/>
                          <w:ind w:left="0"/>
                          <w:jc w:val="center"/>
                        </w:pPr>
                        <w:r>
                          <w:rPr>
                            <w:rFonts w:hAnsi="Malgun Gothic" w:ascii="Malgun Gothic"/>
                            <w:b w:val="false"/>
                            <w:i w:val="false"/>
                            <w:color w:val="333333"/>
                            <w:sz w:val="24"/>
                          </w:rPr>
                          <w:t>20g</w:t>
                        </w:r>
                      </w:p>
                    </w:tc>
                    <w:tc>
                      <w:tcPr>
                        <w:tcW w:type="dxa" w:w="3565"/>
                        <w:tcBorders>
                          <w:top w:sz="8" w:color="333333" w:val="single"/>
                          <w:left w:sz="8" w:color="333333" w:val="single"/>
                          <w:bottom w:sz="8" w:color="333333" w:val="single"/>
                          <w:right w:sz="8" w:color="333333" w:val="single"/>
                        </w:tcBorders>
                        <w:tcMar>
                          <w:top w:type="dxa" w:w="15"/>
                          <w:left w:type="dxa" w:w="15"/>
                          <w:bottom w:type="dxa" w:w="15"/>
                          <w:right w:type="dxa" w:w="15"/>
                        </w:tcMar>
                        <w:vAlign w:val="top"/>
                      </w:tcPr>
                      <w:p>
                        <w:pPr>
                          <w:spacing w:after="0"/>
                          <w:ind w:left="0"/>
                          <w:jc w:val="center"/>
                        </w:pPr>
                        <w:r>
                          <w:rPr>
                            <w:rFonts w:hAnsi="Malgun Gothic" w:ascii="Malgun Gothic"/>
                            <w:b w:val="false"/>
                            <w:i w:val="false"/>
                            <w:color w:val="333333"/>
                            <w:sz w:val="24"/>
                          </w:rPr>
                          <w:t>약액이 충분히</w:t>
                        </w:r>
                        <w:r>
                          <w:br/>
                        </w:r>
                        <w:r>
                          <w:rPr>
                            <w:rFonts w:hAnsi="Malgun Gothic" w:ascii="Malgun Gothic"/>
                            <w:b w:val="false"/>
                            <w:i w:val="false"/>
                            <w:color w:val="333333"/>
                            <w:sz w:val="24"/>
                          </w:rPr>
                          <w:t>
묻도록 살포</w:t>
                        </w:r>
                      </w:p>
                    </w:tc>
                    <w:tc>
                      <w:tcPr>
                        <w:tcW w:type="dxa" w:w="2419"/>
                        <w:tcBorders>
                          <w:top w:sz="8" w:color="333333" w:val="single"/>
                          <w:left w:sz="8" w:color="333333" w:val="single"/>
                          <w:bottom w:sz="8" w:color="333333" w:val="single"/>
                          <w:right w:sz="8" w:color="333333" w:val="single"/>
                        </w:tcBorders>
                        <w:tcMar>
                          <w:top w:type="dxa" w:w="15"/>
                          <w:left w:type="dxa" w:w="15"/>
                          <w:bottom w:type="dxa" w:w="15"/>
                          <w:right w:type="dxa" w:w="15"/>
                        </w:tcMar>
                        <w:vAlign w:val="top"/>
                      </w:tcPr>
                      <w:p>
                        <w:pPr>
                          <w:spacing w:after="0"/>
                          <w:ind w:left="0"/>
                          <w:jc w:val="center"/>
                        </w:pPr>
                        <w:r>
                          <w:rPr>
                            <w:rFonts w:hAnsi="Malgun Gothic" w:ascii="Malgun Gothic"/>
                            <w:b w:val="false"/>
                            <w:i w:val="false"/>
                            <w:color w:val="333333"/>
                            <w:sz w:val="24"/>
                          </w:rPr>
                          <w:t>수확30일전</w:t>
                        </w:r>
                        <w:r>
                          <w:br/>
                        </w:r>
                        <w:r>
                          <w:rPr>
                            <w:rFonts w:hAnsi="Malgun Gothic" w:ascii="Malgun Gothic"/>
                            <w:b w:val="false"/>
                            <w:i w:val="false"/>
                            <w:color w:val="333333"/>
                            <w:sz w:val="24"/>
                          </w:rPr>
                          <w:t>
까지 사용</w:t>
                        </w:r>
                      </w:p>
                    </w:tc>
                    <w:tc>
                      <w:tcPr>
                        <w:tcW w:type="dxa" w:w="1275"/>
                        <w:tcBorders>
                          <w:top w:sz="8" w:color="333333" w:val="single"/>
                          <w:left w:sz="8" w:color="333333" w:val="single"/>
                          <w:bottom w:sz="8" w:color="333333" w:val="single"/>
                          <w:right w:sz="8" w:color="333333" w:val="single"/>
                        </w:tcBorders>
                        <w:tcMar>
                          <w:top w:type="dxa" w:w="15"/>
                          <w:left w:type="dxa" w:w="15"/>
                          <w:bottom w:type="dxa" w:w="15"/>
                          <w:right w:type="dxa" w:w="15"/>
                        </w:tcMar>
                        <w:vAlign w:val="top"/>
                      </w:tcPr>
                      <w:p>
                        <w:pPr>
                          <w:spacing w:after="0"/>
                          <w:ind w:left="0"/>
                          <w:jc w:val="center"/>
                        </w:pPr>
                        <w:r>
                          <w:rPr>
                            <w:rFonts w:hAnsi="Malgun Gothic" w:ascii="Malgun Gothic"/>
                            <w:b w:val="false"/>
                            <w:i w:val="false"/>
                            <w:color w:val="333333"/>
                            <w:sz w:val="24"/>
                          </w:rPr>
                          <w:t>3회이내</w:t>
                        </w:r>
                      </w:p>
                    </w:tc>
                  </w:tr>
                </w:tbl>
                <w:p/>
              </w:tc>
            </w:tr>
            <w:tr>
              <w:trPr/>
              <w:tc>
                <w:tcPr>
                  <w:tcW w:type="dxa" w:w="483"/>
                  <w:tcBorders/>
                  <w:tcMar>
                    <w:top w:type="dxa" w:w="15"/>
                    <w:left w:type="dxa" w:w="15"/>
                    <w:bottom w:type="dxa" w:w="15"/>
                    <w:right w:type="dxa" w:w="15"/>
                  </w:tcMar>
                  <w:vAlign w:val="top"/>
                </w:tcPr>
                <w:p/>
              </w:tc>
              <w:tc>
                <w:tcPr>
                  <w:tcW w:type="auto" w:w="0"/>
                  <w:gridSpan w:val="4"/>
                  <w:tcBorders/>
                  <w:tcMar>
                    <w:top w:type="dxa" w:w="15"/>
                    <w:left w:type="dxa" w:w="15"/>
                    <w:bottom w:type="dxa" w:w="15"/>
                    <w:right w:type="dxa" w:w="15"/>
                  </w:tcMar>
                  <w:vAlign w:val="top"/>
                </w:tcPr>
                <w:p/>
              </w:tc>
            </w:tr>
            <w:tr>
              <w:trPr/>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i w:val="false"/>
                      <w:color w:val="333333"/>
                      <w:sz w:val="24"/>
                    </w:rPr>
                    <w:t>참 고 문 헌</w:t>
                  </w:r>
                </w:p>
              </w:tc>
            </w:tr>
            <w:tr>
              <w:trPr>
                <w:trHeight w:hRule="atLeast" w:val="21060"/>
              </w:trPr>
              <w:tc>
                <w:tcPr>
                  <w:tcW w:type="auto" w:w="0"/>
                  <w:gridSpan w:val="5"/>
                  <w:tcBorders/>
                  <w:tcMar>
                    <w:top w:type="dxa" w:w="15"/>
                    <w:left w:type="dxa" w:w="15"/>
                    <w:bottom w:type="dxa" w:w="15"/>
                    <w:right w:type="dxa" w:w="15"/>
                  </w:tcMar>
                  <w:vAlign w:val="top"/>
                </w:tcPr>
                <w:p>
                  <w:pPr>
                    <w:spacing w:after="0"/>
                    <w:ind w:left="0"/>
                    <w:jc w:val="left"/>
                  </w:pPr>
                  <w:r>
                    <w:rPr>
                      <w:rFonts w:hAnsi="Malgun Gothic" w:ascii="Malgun Gothic"/>
                      <w:b w:val="false"/>
                      <w:i w:val="false"/>
                      <w:color w:val="333333"/>
                      <w:sz w:val="24"/>
                    </w:rPr>
                    <w:t>신현동. 2000. 흰가루병균科. 농업과학기술원. 320.</w:t>
                  </w:r>
                  <w:r>
                    <w:br/>
                  </w:r>
                  <w:r>
                    <w:rPr>
                      <w:rFonts w:hAnsi="Malgun Gothic" w:ascii="Malgun Gothic"/>
                      <w:b w:val="false"/>
                      <w:i w:val="false"/>
                      <w:color w:val="333333"/>
                      <w:sz w:val="24"/>
                    </w:rPr>
                    <w:t>
조원대 외. 1999. 주요 작물병해 진단 및 방제. 한국농업전문학교. 384.</w:t>
                  </w:r>
                  <w:r>
                    <w:br/>
                  </w:r>
                  <w:r>
                    <w:rPr>
                      <w:rFonts w:hAnsi="Malgun Gothic" w:ascii="Malgun Gothic"/>
                      <w:b w:val="false"/>
                      <w:i w:val="false"/>
                      <w:color w:val="333333"/>
                      <w:sz w:val="24"/>
                    </w:rPr>
                    <w:t>
한국식물병리학회. 1998. 한국식물병명목록. 제3판. 436.</w:t>
                  </w:r>
                </w:p>
              </w:tc>
            </w:tr>
          </w:tbl>
          <w:p/>
        </w:tc>
        <w:tc>
          <w:tcPr>
            <w:tcW w:type="dxa" w:w="1"/>
            <w:tcBorders/>
            <w:tcMar>
              <w:top w:type="dxa" w:w="15"/>
              <w:left w:type="dxa" w:w="15"/>
              <w:bottom w:type="dxa" w:w="15"/>
              <w:right w:type="dxa" w:w="15"/>
            </w:tcMar>
            <w:vAlign w:val="top"/>
          </w:tcPr>
          <w:p/>
        </w:tc>
      </w:tr>
    </w:tbl>
    <w:sectPr>
      <w:pgSz w:code="9" w:h="16839" w:w="11907"/>
      <w:pgMar w:left="1440" w:bottom="1440" w:right="1440" w:top="1440"/>
    </w:sectPr>
  </w:body>
</w:document>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w:abstractNum w:abstractNumId="0">
    <w:nsid w:val="16892FB7"/>
    <w:multiLevelType w:val="hybridMultilevel"/>
    <w:tmpl w:val="5A4EB96A"/>
    <w:lvl w:tplc="0C090001" w:ilvl="0">
      <w:start w:val="1"/>
      <w:numFmt w:val="bullet"/>
      <w:lvlText w:val=""/>
      <w:lvlJc w:val="left"/>
      <w:pPr>
        <w:ind w:hanging="360" w:left="720"/>
      </w:pPr>
      <w:rPr>
        <w:rFonts w:hAnsi="Symbol" w:ascii="Symbol" w:hint="default"/>
      </w:rPr>
    </w:lvl>
    <w:lvl w:tentative="true" w:tplc="0C090003" w:ilvl="1">
      <w:start w:val="1"/>
      <w:numFmt w:val="bullet"/>
      <w:lvlText w:val="o"/>
      <w:lvlJc w:val="left"/>
      <w:pPr>
        <w:ind w:hanging="360" w:left="1440"/>
      </w:pPr>
      <w:rPr>
        <w:rFonts w:cs="Courier New" w:hAnsi="Courier New" w:ascii="Courier New" w:hint="default"/>
      </w:rPr>
    </w:lvl>
    <w:lvl w:tentative="true" w:tplc="0C090005" w:ilvl="2">
      <w:start w:val="1"/>
      <w:numFmt w:val="bullet"/>
      <w:lvlText w:val=""/>
      <w:lvlJc w:val="left"/>
      <w:pPr>
        <w:ind w:hanging="360" w:left="2160"/>
      </w:pPr>
      <w:rPr>
        <w:rFonts w:hAnsi="Wingdings" w:ascii="Wingdings" w:hint="default"/>
      </w:rPr>
    </w:lvl>
    <w:lvl w:tentative="true" w:tplc="0C090001" w:ilvl="3">
      <w:start w:val="1"/>
      <w:numFmt w:val="bullet"/>
      <w:lvlText w:val=""/>
      <w:lvlJc w:val="left"/>
      <w:pPr>
        <w:ind w:hanging="360" w:left="2880"/>
      </w:pPr>
      <w:rPr>
        <w:rFonts w:hAnsi="Symbol" w:ascii="Symbol" w:hint="default"/>
      </w:rPr>
    </w:lvl>
    <w:lvl w:tentative="true" w:tplc="0C090003" w:ilvl="4">
      <w:start w:val="1"/>
      <w:numFmt w:val="bullet"/>
      <w:lvlText w:val="o"/>
      <w:lvlJc w:val="left"/>
      <w:pPr>
        <w:ind w:hanging="360" w:left="3600"/>
      </w:pPr>
      <w:rPr>
        <w:rFonts w:cs="Courier New" w:hAnsi="Courier New" w:ascii="Courier New" w:hint="default"/>
      </w:rPr>
    </w:lvl>
    <w:lvl w:tentative="true" w:tplc="0C090005" w:ilvl="5">
      <w:start w:val="1"/>
      <w:numFmt w:val="bullet"/>
      <w:lvlText w:val=""/>
      <w:lvlJc w:val="left"/>
      <w:pPr>
        <w:ind w:hanging="360" w:left="4320"/>
      </w:pPr>
      <w:rPr>
        <w:rFonts w:hAnsi="Wingdings" w:ascii="Wingdings" w:hint="default"/>
      </w:rPr>
    </w:lvl>
    <w:lvl w:tentative="true" w:tplc="0C090001" w:ilvl="6">
      <w:start w:val="1"/>
      <w:numFmt w:val="bullet"/>
      <w:lvlText w:val=""/>
      <w:lvlJc w:val="left"/>
      <w:pPr>
        <w:ind w:hanging="360" w:left="5040"/>
      </w:pPr>
      <w:rPr>
        <w:rFonts w:hAnsi="Symbol" w:ascii="Symbol" w:hint="default"/>
      </w:rPr>
    </w:lvl>
    <w:lvl w:tentative="true" w:tplc="0C090003" w:ilvl="7">
      <w:start w:val="1"/>
      <w:numFmt w:val="bullet"/>
      <w:lvlText w:val="o"/>
      <w:lvlJc w:val="left"/>
      <w:pPr>
        <w:ind w:hanging="360" w:left="5760"/>
      </w:pPr>
      <w:rPr>
        <w:rFonts w:cs="Courier New" w:hAnsi="Courier New" w:ascii="Courier New" w:hint="default"/>
      </w:rPr>
    </w:lvl>
    <w:lvl w:tentative="true" w:tplc="0C090005" w:ilvl="8">
      <w:start w:val="1"/>
      <w:numFmt w:val="bullet"/>
      <w:lvlText w:val=""/>
      <w:lvlJc w:val="left"/>
      <w:pPr>
        <w:ind w:hanging="360" w:left="6480"/>
      </w:pPr>
      <w:rPr>
        <w:rFonts w:hAnsi="Wingdings" w:ascii="Wingdings" w:hint="default"/>
      </w:rPr>
    </w:lvl>
  </w:abstractNum>
  <w:abstractNum w:abstractNumId="1">
    <w:nsid w:val="7E706046"/>
    <w:multiLevelType w:val="hybridMultilevel"/>
    <w:tmpl w:val="336E8F2C"/>
    <w:lvl w:tplc="0C09000F" w:ilvl="0">
      <w:start w:val="1"/>
      <w:numFmt w:val="decimal"/>
      <w:lvlText w:val="%1."/>
      <w:lvlJc w:val="left"/>
      <w:pPr>
        <w:ind w:hanging="360" w:left="720"/>
      </w:pPr>
    </w:lvl>
    <w:lvl w:tentative="true" w:tplc="0C090019" w:ilvl="1">
      <w:start w:val="1"/>
      <w:numFmt w:val="lowerLetter"/>
      <w:lvlText w:val="%2."/>
      <w:lvlJc w:val="left"/>
      <w:pPr>
        <w:ind w:hanging="360" w:left="1440"/>
      </w:pPr>
    </w:lvl>
    <w:lvl w:tentative="true" w:tplc="0C09001B" w:ilvl="2">
      <w:start w:val="1"/>
      <w:numFmt w:val="lowerRoman"/>
      <w:lvlText w:val="%3."/>
      <w:lvlJc w:val="right"/>
      <w:pPr>
        <w:ind w:hanging="180" w:left="2160"/>
      </w:pPr>
    </w:lvl>
    <w:lvl w:tentative="true" w:tplc="0C09000F" w:ilvl="3">
      <w:start w:val="1"/>
      <w:numFmt w:val="decimal"/>
      <w:lvlText w:val="%4."/>
      <w:lvlJc w:val="left"/>
      <w:pPr>
        <w:ind w:hanging="360" w:left="2880"/>
      </w:pPr>
    </w:lvl>
    <w:lvl w:tentative="true" w:tplc="0C090019" w:ilvl="4">
      <w:start w:val="1"/>
      <w:numFmt w:val="lowerLetter"/>
      <w:lvlText w:val="%5."/>
      <w:lvlJc w:val="left"/>
      <w:pPr>
        <w:ind w:hanging="360" w:left="3600"/>
      </w:pPr>
    </w:lvl>
    <w:lvl w:tentative="true" w:tplc="0C09001B" w:ilvl="5">
      <w:start w:val="1"/>
      <w:numFmt w:val="lowerRoman"/>
      <w:lvlText w:val="%6."/>
      <w:lvlJc w:val="right"/>
      <w:pPr>
        <w:ind w:hanging="180" w:left="4320"/>
      </w:pPr>
    </w:lvl>
    <w:lvl w:tentative="true" w:tplc="0C09000F" w:ilvl="6">
      <w:start w:val="1"/>
      <w:numFmt w:val="decimal"/>
      <w:lvlText w:val="%7."/>
      <w:lvlJc w:val="left"/>
      <w:pPr>
        <w:ind w:hanging="360" w:left="5040"/>
      </w:pPr>
    </w:lvl>
    <w:lvl w:tentative="true" w:tplc="0C090019" w:ilvl="7">
      <w:start w:val="1"/>
      <w:numFmt w:val="lowerLetter"/>
      <w:lvlText w:val="%8."/>
      <w:lvlJc w:val="left"/>
      <w:pPr>
        <w:ind w:hanging="360" w:left="5760"/>
      </w:pPr>
    </w:lvl>
    <w:lvl w:tentative="true" w:tplc="0C09001B" w:ilvl="8">
      <w:start w:val="1"/>
      <w:numFmt w:val="lowerRoman"/>
      <w:lvlText w:val="%9."/>
      <w:lvlJc w:val="right"/>
      <w:pPr>
        <w:ind w:hanging="180" w:left="6480"/>
      </w:pPr>
    </w:lvl>
  </w:abstractNum>
  <w:num w:numId="1">
    <w:abstractNumId w:val="1"/>
  </w:num>
  <w:num w:numId="2">
    <w:abstractNumId w:val="0"/>
  </w:num>
</w:numbering>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mc:Ignorable="">
  <w:compat>
    <w:compatSetting w:val="1" w:uri="http://schemas.microsoft.com/office/word" w:name="overrideTableStyleFontSizeAndJustification"/>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w:docDefaults>
    <w:rPrDefault>
      <w:rPr>
        <w:rFonts w:cstheme="minorBidi" w:eastAsiaTheme="minorHAnsi" w:hAnsiTheme="minorHAnsi" w:asciiTheme="minorHAnsi"/>
        <w:sz w:val="22"/>
        <w:szCs w:val="22"/>
        <w:lang w:bidi="ar-SA" w:eastAsia="en-US"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9" w:name="heading 1"/>
    <w:lsdException w:qFormat="true" w:uiPriority="9" w:name="heading 2"/>
    <w:lsdException w:qFormat="true" w:uiPriority="9" w:name="heading 3"/>
    <w:lsdException w:qFormat="true" w:uiPriority="9" w:name="heading 4"/>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0" w:name="Emphasis"/>
    <w:lsdException w:unhideWhenUsed="false" w:semiHidden="false" w:uiPriority="59" w:name="Table Grid"/>
  </w:latentStyles>
  <w:style w:default="true" w:styleId="Normal" w:type="paragraph">
    <w:name w:val="Normal"/>
    <w:qFormat/>
    <w:rsid w:val="004A3277"/>
  </w:style>
  <w:style w:styleId="Heading1" w:type="paragraph">
    <w:name w:val="heading 1"/>
    <w:basedOn w:val="Normal"/>
    <w:next w:val="Normal"/>
    <w:link w:val="Heading1Char"/>
    <w:uiPriority w:val="9"/>
    <w:qFormat/>
    <w:rsid w:val="00841CD9"/>
    <w:pPr>
      <w:keepNext/>
      <w:keepLines/>
      <w:spacing w:before="480"/>
      <w:outlineLvl w:val="0"/>
    </w:pPr>
    <w:rPr>
      <w:rFonts w:cstheme="majorBidi" w:eastAsiaTheme="majorEastAsia" w:hAnsiTheme="majorHAnsi" w:asciiTheme="majorHAnsi"/>
      <w:b/>
      <w:bCs/>
      <w:color w:themeShade="BF" w:themeColor="accent1" w:val="365F91"/>
      <w:sz w:val="28"/>
      <w:szCs w:val="28"/>
    </w:rPr>
  </w:style>
  <w:style w:styleId="Heading2" w:type="paragraph">
    <w:name w:val="heading 2"/>
    <w:basedOn w:val="Normal"/>
    <w:next w:val="Normal"/>
    <w:link w:val="Heading2Char"/>
    <w:uiPriority w:val="9"/>
    <w:unhideWhenUsed/>
    <w:qFormat/>
    <w:rsid w:val="00841CD9"/>
    <w:pPr>
      <w:keepNext/>
      <w:keepLines/>
      <w:spacing w:before="200"/>
      <w:outlineLvl w:val="1"/>
    </w:pPr>
    <w:rPr>
      <w:rFonts w:cstheme="majorBidi" w:eastAsiaTheme="majorEastAsia" w:hAnsiTheme="majorHAnsi" w:asciiTheme="majorHAnsi"/>
      <w:b/>
      <w:bCs/>
      <w:color w:themeColor="accent1" w:val="4F81BD"/>
      <w:sz w:val="26"/>
      <w:szCs w:val="26"/>
    </w:rPr>
  </w:style>
  <w:style w:styleId="Heading3" w:type="paragraph">
    <w:name w:val="heading 3"/>
    <w:basedOn w:val="Normal"/>
    <w:next w:val="Normal"/>
    <w:link w:val="Heading3Char"/>
    <w:uiPriority w:val="9"/>
    <w:unhideWhenUsed/>
    <w:qFormat/>
    <w:rsid w:val="00841CD9"/>
    <w:pPr>
      <w:keepNext/>
      <w:keepLines/>
      <w:spacing w:before="200"/>
      <w:outlineLvl w:val="2"/>
    </w:pPr>
    <w:rPr>
      <w:rFonts w:cstheme="majorBidi" w:eastAsiaTheme="majorEastAsia" w:hAnsiTheme="majorHAnsi" w:asciiTheme="majorHAnsi"/>
      <w:b/>
      <w:bCs/>
      <w:color w:themeColor="accent1" w:val="4F81BD"/>
    </w:rPr>
  </w:style>
  <w:style w:styleId="Heading4" w:type="paragraph">
    <w:name w:val="heading 4"/>
    <w:basedOn w:val="Normal"/>
    <w:next w:val="Normal"/>
    <w:link w:val="Heading4Char"/>
    <w:uiPriority w:val="9"/>
    <w:unhideWhenUsed/>
    <w:qFormat/>
    <w:rsid w:val="00841CD9"/>
    <w:pPr>
      <w:keepNext/>
      <w:keepLines/>
      <w:spacing w:before="200"/>
      <w:outlineLvl w:val="3"/>
    </w:pPr>
    <w:rPr>
      <w:rFonts w:cstheme="majorBidi" w:eastAsiaTheme="majorEastAsia" w:hAnsiTheme="majorHAnsi" w:asciiTheme="majorHAnsi"/>
      <w:b/>
      <w:bCs/>
      <w:i/>
      <w:iCs/>
      <w:color w:themeColor="accent1" w:val="4F81BD"/>
    </w:rPr>
  </w:style>
  <w:style w:default="true" w:styleId="DefaultParagraphFont" w:type="character">
    <w:name w:val="Default Paragraph Font"/>
    <w:uiPriority w:val="1"/>
    <w:semiHidden/>
    <w:unhideWhenUsed/>
  </w:style>
  <w:style w:styleId="Header" w:type="paragraph">
    <w:name w:val="header"/>
    <w:basedOn w:val="Normal"/>
    <w:link w:val="HeaderChar"/>
    <w:uiPriority w:val="99"/>
    <w:unhideWhenUsed/>
    <w:rsid w:val="00841CD9"/>
    <w:pPr>
      <w:tabs>
        <w:tab w:pos="4680" w:val="center"/>
        <w:tab w:pos="9360" w:val="right"/>
      </w:tabs>
    </w:pPr>
  </w:style>
  <w:style w:customStyle="true" w:styleId="HeaderChar" w:type="character">
    <w:name w:val="Header Char"/>
    <w:basedOn w:val="DefaultParagraphFont"/>
    <w:link w:val="Header"/>
    <w:uiPriority w:val="99"/>
    <w:rsid w:val="00841CD9"/>
  </w:style>
  <w:style w:customStyle="true" w:styleId="Heading1Char" w:type="character">
    <w:name w:val="Heading 1 Char"/>
    <w:basedOn w:val="DefaultParagraphFont"/>
    <w:link w:val="Heading1"/>
    <w:uiPriority w:val="9"/>
    <w:rsid w:val="00841CD9"/>
    <w:rPr>
      <w:rFonts w:cstheme="majorBidi" w:eastAsiaTheme="majorEastAsia" w:hAnsiTheme="majorHAnsi" w:asciiTheme="majorHAnsi"/>
      <w:b/>
      <w:bCs/>
      <w:color w:themeShade="BF" w:themeColor="accent1" w:val="365F91"/>
      <w:sz w:val="28"/>
      <w:szCs w:val="28"/>
    </w:rPr>
  </w:style>
  <w:style w:customStyle="true" w:styleId="Heading2Char" w:type="character">
    <w:name w:val="Heading 2 Char"/>
    <w:basedOn w:val="DefaultParagraphFont"/>
    <w:link w:val="Heading2"/>
    <w:uiPriority w:val="9"/>
    <w:rsid w:val="00841CD9"/>
    <w:rPr>
      <w:rFonts w:cstheme="majorBidi" w:eastAsiaTheme="majorEastAsia" w:hAnsiTheme="majorHAnsi" w:asciiTheme="majorHAnsi"/>
      <w:b/>
      <w:bCs/>
      <w:color w:themeColor="accent1" w:val="4F81BD"/>
      <w:sz w:val="26"/>
      <w:szCs w:val="26"/>
    </w:rPr>
  </w:style>
  <w:style w:customStyle="true" w:styleId="Heading3Char" w:type="character">
    <w:name w:val="Heading 3 Char"/>
    <w:basedOn w:val="DefaultParagraphFont"/>
    <w:link w:val="Heading3"/>
    <w:uiPriority w:val="9"/>
    <w:rsid w:val="00841CD9"/>
    <w:rPr>
      <w:rFonts w:cstheme="majorBidi" w:eastAsiaTheme="majorEastAsia" w:hAnsiTheme="majorHAnsi" w:asciiTheme="majorHAnsi"/>
      <w:b/>
      <w:bCs/>
      <w:color w:themeColor="accent1" w:val="4F81BD"/>
    </w:rPr>
  </w:style>
  <w:style w:customStyle="true" w:styleId="Heading4Char" w:type="character">
    <w:name w:val="Heading 4 Char"/>
    <w:basedOn w:val="DefaultParagraphFont"/>
    <w:link w:val="Heading4"/>
    <w:uiPriority w:val="9"/>
    <w:rsid w:val="00841CD9"/>
    <w:rPr>
      <w:rFonts w:cstheme="majorBidi" w:eastAsiaTheme="majorEastAsia" w:hAnsiTheme="majorHAnsi" w:asciiTheme="majorHAnsi"/>
      <w:b/>
      <w:bCs/>
      <w:i/>
      <w:iCs/>
      <w:color w:themeColor="accent1" w:val="4F81BD"/>
    </w:rPr>
  </w:style>
  <w:style w:styleId="NormalIndent" w:type="paragraph">
    <w:name w:val="Normal Indent"/>
    <w:basedOn w:val="Normal"/>
    <w:uiPriority w:val="99"/>
    <w:unhideWhenUsed/>
    <w:rsid w:val="00841CD9"/>
    <w:pPr>
      <w:ind w:left="720"/>
    </w:pPr>
  </w:style>
  <w:style w:styleId="Subtitle" w:type="paragraph">
    <w:name w:val="Subtitle"/>
    <w:basedOn w:val="Normal"/>
    <w:next w:val="Normal"/>
    <w:link w:val="SubtitleChar"/>
    <w:uiPriority w:val="11"/>
    <w:qFormat/>
    <w:rsid w:val="00841CD9"/>
    <w:pPr>
      <w:numPr>
        <w:ilvl w:val="1"/>
      </w:numPr>
      <w:ind w:left="86"/>
    </w:pPr>
    <w:rPr>
      <w:rFonts w:cstheme="majorBidi" w:eastAsiaTheme="majorEastAsia" w:hAnsiTheme="majorHAnsi" w:asciiTheme="majorHAnsi"/>
      <w:i/>
      <w:iCs/>
      <w:color w:themeColor="accent1" w:val="4F81BD"/>
      <w:spacing w:val="15"/>
      <w:sz w:val="24"/>
      <w:szCs w:val="24"/>
    </w:rPr>
  </w:style>
  <w:style w:customStyle="true" w:styleId="SubtitleChar" w:type="character">
    <w:name w:val="Subtitle Char"/>
    <w:basedOn w:val="DefaultParagraphFont"/>
    <w:link w:val="Subtitle"/>
    <w:uiPriority w:val="11"/>
    <w:rsid w:val="00841CD9"/>
    <w:rPr>
      <w:rFonts w:cstheme="majorBidi" w:eastAsiaTheme="majorEastAsia" w:hAnsiTheme="majorHAnsi" w:asciiTheme="majorHAnsi"/>
      <w:i/>
      <w:iCs/>
      <w:color w:themeColor="accent1" w:val="4F81BD"/>
      <w:spacing w:val="15"/>
      <w:sz w:val="24"/>
      <w:szCs w:val="24"/>
    </w:rPr>
  </w:style>
  <w:style w:styleId="Title" w:type="paragraph">
    <w:name w:val="Title"/>
    <w:basedOn w:val="Normal"/>
    <w:next w:val="Normal"/>
    <w:link w:val="TitleChar"/>
    <w:uiPriority w:val="10"/>
    <w:qFormat/>
    <w:rsid w:val="00841CD9"/>
    <w:pPr>
      <w:pBdr>
        <w:bottom w:space="4" w:sz="8" w:themeColor="accent1" w:color="4F81BD" w:val="single"/>
      </w:pBdr>
      <w:spacing w:after="300"/>
      <w:contextualSpacing/>
    </w:pPr>
    <w:rPr>
      <w:rFonts w:cstheme="majorBidi" w:eastAsiaTheme="majorEastAsia" w:hAnsiTheme="majorHAnsi" w:asciiTheme="majorHAnsi"/>
      <w:color w:themeShade="BF" w:themeColor="text2" w:val="17365D"/>
      <w:spacing w:val="5"/>
      <w:kern w:val="28"/>
      <w:sz w:val="52"/>
      <w:szCs w:val="52"/>
    </w:rPr>
  </w:style>
  <w:style w:customStyle="true" w:styleId="TitleChar" w:type="character">
    <w:name w:val="Title Char"/>
    <w:basedOn w:val="DefaultParagraphFont"/>
    <w:link w:val="Title"/>
    <w:uiPriority w:val="10"/>
    <w:rsid w:val="00841CD9"/>
    <w:rPr>
      <w:rFonts w:cstheme="majorBidi" w:eastAsiaTheme="majorEastAsia" w:hAnsiTheme="majorHAnsi" w:asciiTheme="majorHAnsi"/>
      <w:color w:themeShade="BF" w:themeColor="text2" w:val="17365D"/>
      <w:spacing w:val="5"/>
      <w:kern w:val="28"/>
      <w:sz w:val="52"/>
      <w:szCs w:val="52"/>
    </w:rPr>
  </w:style>
  <w:style w:styleId="Emphasis" w:type="character">
    <w:name w:val="Emphasis"/>
    <w:basedOn w:val="DefaultParagraphFont"/>
    <w:uiPriority w:val="20"/>
    <w:qFormat/>
    <w:rsid w:val="00D1197D"/>
    <w:rPr>
      <w:i/>
      <w:iCs/>
    </w:rPr>
  </w:style>
  <w:style w:styleId="Hyperlink" w:type="character">
    <w:name w:val="Hyperlink"/>
    <w:basedOn w:val="DefaultParagraphFont"/>
    <w:uiPriority w:val="99"/>
    <w:unhideWhenUsed/>
    <w:rPr>
      <w:color w:themeColor="hyperlink" w:val="0000FF"/>
      <w:u w:val="single"/>
    </w:rPr>
  </w:style>
  <w:style w:styleId="TableGrid" w:type="table">
    <w:name w:val="Table Grid"/>
    <w:basedOn w:val="TableNormal"/>
    <w:uiPriority w:val="59"/>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type="dxa" w:w="0"/>
        <w:left w:type="dxa" w:w="108"/>
        <w:bottom w:type="dxa" w:w="0"/>
        <w:right w:type="dxa" w:w="108"/>
      </w:tblCellMar>
    </w:tblPr>
  </w:style>
  <w:style w:default="true" w:styleId="TableNormal" w:type="table">
    <w:name w:val="Normal Table"/>
    <w:uiPriority w:val="99"/>
    <w:semiHidden/>
    <w:unhideWhenUsed/>
    <w:qFormat/>
    <w:tblPr>
      <w:tblInd w:type="dxa" w:w="0"/>
      <w:tblCellMar>
        <w:top w:type="dxa" w:w="0"/>
        <w:left w:type="dxa" w:w="108"/>
        <w:bottom w:type="dxa" w:w="0"/>
        <w:right w:type="dxa" w:w="108"/>
      </w:tblCellMar>
    </w:tblPr>
  </w:style>
  <w:style w:styleId="Caption" w:type="paragraph">
    <w:name w:val="caption"/>
    <w:basedOn w:val="Normal"/>
    <w:next w:val="Normal"/>
    <w:uiPriority w:val="35"/>
    <w:semiHidden/>
    <w:unhideWhenUsed/>
    <w:qFormat/>
    <w:rsid w:val="007109C0"/>
    <w:pPr>
      <w:spacing w:lineRule="auto" w:line="240"/>
    </w:pPr>
    <w:rPr>
      <w:b/>
      <w:bCs/>
      <w:color w:themeColor="accent1" w:val="4F81BD"/>
      <w:sz w:val="18"/>
      <w:szCs w:val="18"/>
    </w:rPr>
  </w:style>
</w:styles>
</file>

<file path=word/_rels/document.xml.rels><?xml version="1.0" encoding="UTF-8"?><Relationships xmlns="http://schemas.openxmlformats.org/package/2006/relationships"><Relationship Id="rId1" Type="http://schemas.openxmlformats.org/officeDocument/2006/relationships/styles" Target="styles.xml"></Relationship><Relationship Id="rId2" Type="http://schemas.openxmlformats.org/officeDocument/2006/relationships/settings" Target="settings.xml"></Relationship><Relationship Id="rId3" Type="http://schemas.openxmlformats.org/officeDocument/2006/relationships/numbering" Target="numbering.xml"></Relationship><Relationship Id="rId4" Type="http://schemas.openxmlformats.org/officeDocument/2006/relationships/image" Target="media/document_image_rId4.jpeg"></Relationship></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dc="http://purl.org/dc/elements/1.1/" xmlns:dcterms="http://purl.org/dc/terms/" xmlns:cp="http://schemas.openxmlformats.org/package/2006/metadata/core-properties"/>
</file>